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71" w:rsidRPr="00874348" w:rsidRDefault="00506071" w:rsidP="00874348">
      <w:pPr>
        <w:jc w:val="center"/>
        <w:rPr>
          <w:lang w:val="fr-FR"/>
        </w:rPr>
      </w:pPr>
      <w:bookmarkStart w:id="0" w:name="_GoBack"/>
      <w:bookmarkEnd w:id="0"/>
    </w:p>
    <w:p w:rsidR="00506071" w:rsidRPr="00874348" w:rsidRDefault="00506071" w:rsidP="00874348">
      <w:pPr>
        <w:jc w:val="center"/>
        <w:rPr>
          <w:lang w:val="fr-FR"/>
        </w:rPr>
      </w:pPr>
    </w:p>
    <w:p w:rsidR="00506071" w:rsidRPr="00874348" w:rsidRDefault="00506071" w:rsidP="00874348">
      <w:pPr>
        <w:tabs>
          <w:tab w:val="left" w:pos="5529"/>
        </w:tabs>
        <w:jc w:val="center"/>
        <w:rPr>
          <w:lang w:val="fr-FR"/>
        </w:rPr>
      </w:pPr>
      <w:r w:rsidRPr="00874348">
        <w:rPr>
          <w:lang w:val="fr-FR"/>
        </w:rPr>
        <w:t>PREMIÈRE SECTION</w:t>
      </w: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outlineLvl w:val="0"/>
        <w:rPr>
          <w:b/>
          <w:lang w:val="fr-FR"/>
        </w:rPr>
      </w:pPr>
      <w:r w:rsidRPr="00874348">
        <w:rPr>
          <w:b/>
          <w:lang w:val="fr-FR"/>
        </w:rPr>
        <w:t>AFFAIRE D.A. ET AUTRES c. ITALIE</w:t>
      </w:r>
    </w:p>
    <w:p w:rsidR="00506071" w:rsidRPr="00874348" w:rsidRDefault="00506071" w:rsidP="00874348">
      <w:pPr>
        <w:jc w:val="center"/>
        <w:rPr>
          <w:lang w:val="fr-FR"/>
        </w:rPr>
      </w:pPr>
    </w:p>
    <w:p w:rsidR="00506071" w:rsidRPr="00874348" w:rsidRDefault="00506071" w:rsidP="00874348">
      <w:pPr>
        <w:jc w:val="center"/>
        <w:rPr>
          <w:i/>
          <w:lang w:val="fr-FR"/>
        </w:rPr>
      </w:pPr>
      <w:r w:rsidRPr="00874348">
        <w:rPr>
          <w:rFonts w:ascii="Times New Roman" w:eastAsia="Times New Roman" w:hAnsi="Times New Roman" w:cs="Times New Roman"/>
          <w:i/>
          <w:lang w:val="fr-FR"/>
        </w:rPr>
        <w:t>(Requêtes n</w:t>
      </w:r>
      <w:r w:rsidRPr="00874348">
        <w:rPr>
          <w:rFonts w:ascii="Times New Roman" w:eastAsia="Times New Roman" w:hAnsi="Times New Roman" w:cs="Times New Roman"/>
          <w:i/>
          <w:vertAlign w:val="superscript"/>
          <w:lang w:val="fr-FR"/>
        </w:rPr>
        <w:t>os</w:t>
      </w:r>
      <w:r w:rsidR="00005E25" w:rsidRPr="00874348">
        <w:rPr>
          <w:rFonts w:ascii="Times New Roman" w:eastAsia="Times New Roman" w:hAnsi="Times New Roman" w:cs="Times New Roman"/>
          <w:i/>
          <w:lang w:val="fr-FR"/>
        </w:rPr>
        <w:t xml:space="preserve"> 68060/12,</w:t>
      </w:r>
      <w:r w:rsidRPr="00874348">
        <w:rPr>
          <w:rFonts w:ascii="Times New Roman" w:eastAsia="Times New Roman" w:hAnsi="Times New Roman" w:cs="Times New Roman"/>
          <w:i/>
          <w:lang w:val="fr-FR"/>
        </w:rPr>
        <w:t xml:space="preserve"> 16178/13, 23130/13, 23149/13, 64572/13, 13662/13, 13837/13, 22933/13, 13668/13, 13657/13, 22918/13, </w:t>
      </w:r>
      <w:r w:rsidRPr="00874348">
        <w:rPr>
          <w:rFonts w:ascii="Times New Roman" w:eastAsia="Times New Roman" w:hAnsi="Times New Roman" w:cs="Calibri"/>
          <w:i/>
          <w:lang w:val="fr-FR"/>
        </w:rPr>
        <w:t xml:space="preserve">22978/13, 22985/13, 22899/13, </w:t>
      </w:r>
      <w:r w:rsidRPr="00874348">
        <w:rPr>
          <w:rFonts w:ascii="Times New Roman" w:eastAsia="Times New Roman" w:hAnsi="Times New Roman" w:cs="Times New Roman"/>
          <w:i/>
          <w:lang w:val="fr-FR"/>
        </w:rPr>
        <w:t>9673</w:t>
      </w:r>
      <w:r w:rsidRPr="00874348">
        <w:rPr>
          <w:rFonts w:ascii="Times New Roman" w:eastAsia="Times New Roman" w:hAnsi="Times New Roman" w:cs="Calibri"/>
          <w:i/>
          <w:lang w:val="fr-FR"/>
        </w:rPr>
        <w:t xml:space="preserve">/13, </w:t>
      </w:r>
      <w:r w:rsidRPr="00874348">
        <w:rPr>
          <w:rFonts w:ascii="Times New Roman" w:eastAsia="Times New Roman" w:hAnsi="Times New Roman" w:cs="Calibri"/>
          <w:i/>
          <w:szCs w:val="24"/>
          <w:lang w:val="fr-FR"/>
        </w:rPr>
        <w:t>158/12, 3892/12, 8154/12</w:t>
      </w:r>
      <w:r w:rsidR="00CA3A04" w:rsidRPr="00874348">
        <w:rPr>
          <w:rFonts w:ascii="Times New Roman" w:eastAsia="Times New Roman" w:hAnsi="Times New Roman" w:cs="Calibri"/>
          <w:i/>
          <w:szCs w:val="24"/>
          <w:lang w:val="fr-FR"/>
        </w:rPr>
        <w:t xml:space="preserve"> et</w:t>
      </w:r>
      <w:r w:rsidRPr="00874348">
        <w:rPr>
          <w:rFonts w:ascii="Times New Roman" w:eastAsia="Times New Roman" w:hAnsi="Times New Roman" w:cs="Calibri"/>
          <w:i/>
          <w:szCs w:val="24"/>
          <w:lang w:val="fr-FR"/>
        </w:rPr>
        <w:t xml:space="preserve"> 41143/12)</w:t>
      </w: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313171" w:rsidRPr="00874348" w:rsidRDefault="00313171" w:rsidP="00874348">
      <w:pPr>
        <w:jc w:val="center"/>
        <w:rPr>
          <w:lang w:val="fr-FR"/>
        </w:rPr>
      </w:pPr>
    </w:p>
    <w:p w:rsidR="00313171" w:rsidRPr="00874348" w:rsidRDefault="00313171" w:rsidP="00874348">
      <w:pPr>
        <w:jc w:val="center"/>
        <w:rPr>
          <w:lang w:val="fr-FR"/>
        </w:rPr>
      </w:pPr>
    </w:p>
    <w:p w:rsidR="00313171" w:rsidRPr="00874348" w:rsidRDefault="003131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outlineLvl w:val="0"/>
        <w:rPr>
          <w:lang w:val="fr-FR"/>
        </w:rPr>
      </w:pPr>
      <w:r w:rsidRPr="00874348">
        <w:rPr>
          <w:lang w:val="fr-FR"/>
        </w:rPr>
        <w:t>ARRÊT</w:t>
      </w:r>
    </w:p>
    <w:p w:rsidR="00506071" w:rsidRPr="00874348" w:rsidRDefault="00506071" w:rsidP="00874348">
      <w:pPr>
        <w:jc w:val="center"/>
        <w:rPr>
          <w:lang w:val="fr-FR"/>
        </w:rPr>
      </w:pPr>
    </w:p>
    <w:p w:rsidR="00506071" w:rsidRPr="00874348" w:rsidRDefault="00506071" w:rsidP="00874348">
      <w:pPr>
        <w:jc w:val="center"/>
        <w:rPr>
          <w:lang w:val="fr-FR"/>
        </w:rPr>
      </w:pPr>
    </w:p>
    <w:p w:rsidR="00506071" w:rsidRPr="00874348" w:rsidRDefault="00506071" w:rsidP="00874348">
      <w:pPr>
        <w:jc w:val="center"/>
        <w:outlineLvl w:val="0"/>
        <w:rPr>
          <w:lang w:val="fr-FR"/>
        </w:rPr>
      </w:pPr>
      <w:r w:rsidRPr="00874348">
        <w:rPr>
          <w:lang w:val="fr-FR"/>
        </w:rPr>
        <w:t>STRASBOURG</w:t>
      </w:r>
    </w:p>
    <w:p w:rsidR="00506071" w:rsidRPr="00874348" w:rsidRDefault="00506071" w:rsidP="00874348">
      <w:pPr>
        <w:jc w:val="center"/>
        <w:rPr>
          <w:lang w:val="fr-FR"/>
        </w:rPr>
      </w:pPr>
    </w:p>
    <w:p w:rsidR="00506071" w:rsidRPr="00874348" w:rsidRDefault="00506071" w:rsidP="00874348">
      <w:pPr>
        <w:jc w:val="center"/>
        <w:rPr>
          <w:lang w:val="fr-FR"/>
        </w:rPr>
      </w:pPr>
      <w:r w:rsidRPr="00874348">
        <w:rPr>
          <w:lang w:val="fr-FR"/>
        </w:rPr>
        <w:t>14 janvier 2016</w:t>
      </w:r>
    </w:p>
    <w:p w:rsidR="00506071" w:rsidRPr="00874348" w:rsidRDefault="00506071" w:rsidP="00874348">
      <w:pPr>
        <w:jc w:val="center"/>
        <w:rPr>
          <w:lang w:val="fr-FR"/>
        </w:rPr>
      </w:pPr>
    </w:p>
    <w:p w:rsidR="00385F5E" w:rsidRPr="00874348" w:rsidRDefault="00385F5E" w:rsidP="00874348">
      <w:pPr>
        <w:jc w:val="center"/>
        <w:rPr>
          <w:lang w:val="fr-FR"/>
        </w:rPr>
      </w:pPr>
    </w:p>
    <w:p w:rsidR="00506071" w:rsidRPr="00874348" w:rsidRDefault="00506071" w:rsidP="00874348">
      <w:pPr>
        <w:jc w:val="center"/>
        <w:rPr>
          <w:lang w:val="fr-FR"/>
        </w:rPr>
      </w:pPr>
    </w:p>
    <w:p w:rsidR="00506071" w:rsidRPr="00874348" w:rsidRDefault="00506071" w:rsidP="00874348">
      <w:pPr>
        <w:jc w:val="left"/>
        <w:rPr>
          <w:i/>
          <w:sz w:val="22"/>
          <w:lang w:val="fr-FR"/>
        </w:rPr>
      </w:pPr>
      <w:r w:rsidRPr="00874348">
        <w:rPr>
          <w:i/>
          <w:sz w:val="22"/>
          <w:lang w:val="fr-FR"/>
        </w:rPr>
        <w:t>Cet arrêt</w:t>
      </w:r>
      <w:r w:rsidR="00D53B1C" w:rsidRPr="00874348">
        <w:rPr>
          <w:i/>
          <w:sz w:val="22"/>
          <w:lang w:val="fr-FR"/>
        </w:rPr>
        <w:t xml:space="preserve"> </w:t>
      </w:r>
      <w:r w:rsidRPr="00874348">
        <w:rPr>
          <w:i/>
          <w:sz w:val="22"/>
          <w:lang w:val="fr-FR"/>
        </w:rPr>
        <w:t>deviendra définitif dans les conditions définies à l</w:t>
      </w:r>
      <w:r w:rsidR="00874348" w:rsidRPr="00874348">
        <w:rPr>
          <w:i/>
          <w:sz w:val="22"/>
          <w:lang w:val="fr-FR"/>
        </w:rPr>
        <w:t>’</w:t>
      </w:r>
      <w:r w:rsidRPr="00874348">
        <w:rPr>
          <w:i/>
          <w:sz w:val="22"/>
          <w:lang w:val="fr-FR"/>
        </w:rPr>
        <w:t>article 44 § 2 de la Convention. Il peut subir des retouches de forme.</w:t>
      </w:r>
    </w:p>
    <w:p w:rsidR="00506071" w:rsidRPr="00874348" w:rsidRDefault="00506071" w:rsidP="00874348">
      <w:pPr>
        <w:rPr>
          <w:lang w:val="fr-FR"/>
        </w:rPr>
        <w:sectPr w:rsidR="00506071" w:rsidRPr="00874348" w:rsidSect="00D53B1C">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p w:rsidR="00506071" w:rsidRPr="00874348" w:rsidRDefault="00506071" w:rsidP="00874348">
      <w:pPr>
        <w:pStyle w:val="JuCase"/>
        <w:keepNext/>
        <w:keepLines/>
        <w:rPr>
          <w:lang w:val="fr-FR"/>
        </w:rPr>
      </w:pPr>
      <w:r w:rsidRPr="00874348">
        <w:rPr>
          <w:lang w:val="fr-FR"/>
        </w:rPr>
        <w:lastRenderedPageBreak/>
        <w:t>En l</w:t>
      </w:r>
      <w:r w:rsidR="00874348" w:rsidRPr="00874348">
        <w:rPr>
          <w:lang w:val="fr-FR"/>
        </w:rPr>
        <w:t>’</w:t>
      </w:r>
      <w:r w:rsidRPr="00874348">
        <w:rPr>
          <w:lang w:val="fr-FR"/>
        </w:rPr>
        <w:t xml:space="preserve">affaire </w:t>
      </w:r>
      <w:r w:rsidR="005658C9" w:rsidRPr="00874348">
        <w:rPr>
          <w:rFonts w:ascii="Times New Roman" w:eastAsia="Times New Roman" w:hAnsi="Times New Roman" w:cs="Times New Roman"/>
          <w:lang w:val="fr-FR"/>
        </w:rPr>
        <w:t xml:space="preserve">D.A. et autres </w:t>
      </w:r>
      <w:r w:rsidRPr="00874348">
        <w:rPr>
          <w:lang w:val="fr-FR"/>
        </w:rPr>
        <w:t xml:space="preserve">c. </w:t>
      </w:r>
      <w:r w:rsidR="005658C9" w:rsidRPr="00874348">
        <w:rPr>
          <w:lang w:val="fr-FR"/>
        </w:rPr>
        <w:t>Italie</w:t>
      </w:r>
      <w:r w:rsidRPr="00874348">
        <w:rPr>
          <w:lang w:val="fr-FR"/>
        </w:rPr>
        <w:t>,</w:t>
      </w:r>
    </w:p>
    <w:p w:rsidR="00506071" w:rsidRPr="00874348" w:rsidRDefault="00506071" w:rsidP="00874348">
      <w:pPr>
        <w:pStyle w:val="ECHRPara"/>
        <w:keepNext/>
        <w:keepLines/>
        <w:rPr>
          <w:lang w:val="fr-FR"/>
        </w:rPr>
      </w:pPr>
      <w:r w:rsidRPr="00874348">
        <w:rPr>
          <w:lang w:val="fr-FR"/>
        </w:rPr>
        <w:t>La Cour européenne des droits de l</w:t>
      </w:r>
      <w:r w:rsidR="00874348" w:rsidRPr="00874348">
        <w:rPr>
          <w:lang w:val="fr-FR"/>
        </w:rPr>
        <w:t>’</w:t>
      </w:r>
      <w:r w:rsidRPr="00874348">
        <w:rPr>
          <w:lang w:val="fr-FR"/>
        </w:rPr>
        <w:t>homme (première section), siégeant en une chambre composée de :</w:t>
      </w:r>
    </w:p>
    <w:p w:rsidR="00506071" w:rsidRPr="00874348" w:rsidRDefault="00506071" w:rsidP="00874348">
      <w:pPr>
        <w:pStyle w:val="ECHRDecisionBody"/>
        <w:rPr>
          <w:lang w:val="fr-FR"/>
        </w:rPr>
      </w:pPr>
      <w:r w:rsidRPr="00874348">
        <w:rPr>
          <w:lang w:val="fr-FR"/>
        </w:rPr>
        <w:tab/>
        <w:t>Mirjana Lazarova Trajkovska,</w:t>
      </w:r>
      <w:r w:rsidRPr="00874348">
        <w:rPr>
          <w:i/>
          <w:lang w:val="fr-FR"/>
        </w:rPr>
        <w:t xml:space="preserve"> présidente,</w:t>
      </w:r>
      <w:r w:rsidRPr="00874348">
        <w:rPr>
          <w:i/>
          <w:lang w:val="fr-FR"/>
        </w:rPr>
        <w:br/>
      </w:r>
      <w:r w:rsidRPr="00874348">
        <w:rPr>
          <w:lang w:val="fr-FR"/>
        </w:rPr>
        <w:tab/>
        <w:t>Päivi Hirvelä,</w:t>
      </w:r>
      <w:r w:rsidRPr="00874348">
        <w:rPr>
          <w:i/>
          <w:lang w:val="fr-FR"/>
        </w:rPr>
        <w:br/>
      </w:r>
      <w:r w:rsidRPr="00874348">
        <w:rPr>
          <w:lang w:val="fr-FR"/>
        </w:rPr>
        <w:tab/>
        <w:t>Guido Raimondi,</w:t>
      </w:r>
      <w:r w:rsidRPr="00874348">
        <w:rPr>
          <w:i/>
          <w:lang w:val="fr-FR"/>
        </w:rPr>
        <w:br/>
      </w:r>
      <w:r w:rsidRPr="00874348">
        <w:rPr>
          <w:lang w:val="fr-FR"/>
        </w:rPr>
        <w:tab/>
        <w:t>Ledi Bianku,</w:t>
      </w:r>
      <w:r w:rsidRPr="00874348">
        <w:rPr>
          <w:i/>
          <w:lang w:val="fr-FR"/>
        </w:rPr>
        <w:br/>
      </w:r>
      <w:r w:rsidRPr="00874348">
        <w:rPr>
          <w:lang w:val="fr-FR"/>
        </w:rPr>
        <w:tab/>
        <w:t>Kristina Pardalos,</w:t>
      </w:r>
      <w:r w:rsidRPr="00874348">
        <w:rPr>
          <w:i/>
          <w:lang w:val="fr-FR"/>
        </w:rPr>
        <w:br/>
      </w:r>
      <w:r w:rsidRPr="00874348">
        <w:rPr>
          <w:lang w:val="fr-FR"/>
        </w:rPr>
        <w:tab/>
        <w:t>Robert Spano,</w:t>
      </w:r>
      <w:r w:rsidRPr="00874348">
        <w:rPr>
          <w:i/>
          <w:lang w:val="fr-FR"/>
        </w:rPr>
        <w:br/>
      </w:r>
      <w:r w:rsidRPr="00874348">
        <w:rPr>
          <w:lang w:val="fr-FR"/>
        </w:rPr>
        <w:tab/>
        <w:t>Armen Harutyunyan,</w:t>
      </w:r>
      <w:r w:rsidRPr="00874348">
        <w:rPr>
          <w:i/>
          <w:lang w:val="fr-FR"/>
        </w:rPr>
        <w:t xml:space="preserve"> juges,</w:t>
      </w:r>
    </w:p>
    <w:p w:rsidR="00506071" w:rsidRPr="00874348" w:rsidRDefault="00506071" w:rsidP="00874348">
      <w:pPr>
        <w:pStyle w:val="ECHRDecisionBody"/>
        <w:rPr>
          <w:lang w:val="fr-FR"/>
        </w:rPr>
      </w:pPr>
      <w:r w:rsidRPr="00874348">
        <w:rPr>
          <w:lang w:val="fr-FR"/>
        </w:rPr>
        <w:t xml:space="preserve">et de André Wampach, </w:t>
      </w:r>
      <w:r w:rsidRPr="00874348">
        <w:rPr>
          <w:i/>
          <w:lang w:val="fr-FR"/>
        </w:rPr>
        <w:t>greffier</w:t>
      </w:r>
      <w:r w:rsidRPr="00874348">
        <w:rPr>
          <w:iCs/>
          <w:lang w:val="fr-FR"/>
        </w:rPr>
        <w:t xml:space="preserve"> </w:t>
      </w:r>
      <w:r w:rsidRPr="00874348">
        <w:rPr>
          <w:i/>
          <w:iCs/>
          <w:lang w:val="fr-FR"/>
        </w:rPr>
        <w:t>adjoint d</w:t>
      </w:r>
      <w:r w:rsidRPr="00874348">
        <w:rPr>
          <w:i/>
          <w:lang w:val="fr-FR"/>
        </w:rPr>
        <w:t>e section</w:t>
      </w:r>
      <w:r w:rsidRPr="00874348">
        <w:rPr>
          <w:lang w:val="fr-FR"/>
        </w:rPr>
        <w:t>,</w:t>
      </w:r>
    </w:p>
    <w:p w:rsidR="00506071" w:rsidRPr="00874348" w:rsidRDefault="00506071" w:rsidP="00874348">
      <w:pPr>
        <w:pStyle w:val="ECHRPara"/>
        <w:rPr>
          <w:lang w:val="fr-FR"/>
        </w:rPr>
      </w:pPr>
      <w:r w:rsidRPr="00874348">
        <w:rPr>
          <w:lang w:val="fr-FR"/>
        </w:rPr>
        <w:t>Après en avoir délibéré en chambre du conseil le 8 décembre 2015,</w:t>
      </w:r>
    </w:p>
    <w:p w:rsidR="00506071" w:rsidRPr="00874348" w:rsidRDefault="00506071" w:rsidP="00874348">
      <w:pPr>
        <w:pStyle w:val="ECHRPara"/>
        <w:rPr>
          <w:lang w:val="fr-FR"/>
        </w:rPr>
      </w:pPr>
      <w:r w:rsidRPr="00874348">
        <w:rPr>
          <w:lang w:val="fr-FR"/>
        </w:rPr>
        <w:t>Rend l</w:t>
      </w:r>
      <w:r w:rsidR="00874348" w:rsidRPr="00874348">
        <w:rPr>
          <w:lang w:val="fr-FR"/>
        </w:rPr>
        <w:t>’</w:t>
      </w:r>
      <w:r w:rsidRPr="00874348">
        <w:rPr>
          <w:lang w:val="fr-FR"/>
        </w:rPr>
        <w:t>arrêt que voici, adopté à cette date :</w:t>
      </w:r>
    </w:p>
    <w:p w:rsidR="00506071" w:rsidRPr="00874348" w:rsidRDefault="00506071" w:rsidP="00874348">
      <w:pPr>
        <w:pStyle w:val="ECHRTitle1"/>
        <w:rPr>
          <w:lang w:val="fr-FR"/>
        </w:rPr>
      </w:pPr>
      <w:r w:rsidRPr="00874348">
        <w:rPr>
          <w:lang w:val="fr-FR"/>
        </w:rPr>
        <w:t>PROCÉDURE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w:t>
      </w:r>
      <w:r w:rsidRPr="00874348">
        <w:rPr>
          <w:rFonts w:eastAsia="Times New Roman"/>
          <w:lang w:val="fr-FR"/>
        </w:rPr>
        <w:fldChar w:fldCharType="end"/>
      </w:r>
      <w:r w:rsidRPr="00874348">
        <w:rPr>
          <w:rFonts w:eastAsia="Times New Roman"/>
          <w:lang w:val="fr-FR"/>
        </w:rPr>
        <w:t>.  À l</w:t>
      </w:r>
      <w:r w:rsidR="00874348" w:rsidRPr="00874348">
        <w:rPr>
          <w:rFonts w:eastAsia="Times New Roman"/>
          <w:lang w:val="fr-FR"/>
        </w:rPr>
        <w:t>’</w:t>
      </w:r>
      <w:r w:rsidRPr="00874348">
        <w:rPr>
          <w:rFonts w:eastAsia="Times New Roman"/>
          <w:lang w:val="fr-FR"/>
        </w:rPr>
        <w:t>origine de l</w:t>
      </w:r>
      <w:r w:rsidR="00874348" w:rsidRPr="00874348">
        <w:rPr>
          <w:rFonts w:eastAsia="Times New Roman"/>
          <w:lang w:val="fr-FR"/>
        </w:rPr>
        <w:t>’</w:t>
      </w:r>
      <w:r w:rsidRPr="00874348">
        <w:rPr>
          <w:rFonts w:eastAsia="Times New Roman"/>
          <w:lang w:val="fr-FR"/>
        </w:rPr>
        <w:t>affaire se trouvent dix-neuf requêtes (indiquées dans la liste A en annexe) dirigées contre la République italienne et dont huit-cent-quatre-vingt-neuf ressortissants de cet État, (« les requérants »), ont saisi la Cour, aux dates indiquées dans la liste B en annexe, en vertu de l</w:t>
      </w:r>
      <w:r w:rsidR="00874348" w:rsidRPr="00874348">
        <w:rPr>
          <w:rFonts w:eastAsia="Times New Roman"/>
          <w:lang w:val="fr-FR"/>
        </w:rPr>
        <w:t>’</w:t>
      </w:r>
      <w:r w:rsidRPr="00874348">
        <w:rPr>
          <w:rFonts w:eastAsia="Times New Roman"/>
          <w:lang w:val="fr-FR"/>
        </w:rPr>
        <w:t>article 34 de la Convention de sauvegarde des droits de l</w:t>
      </w:r>
      <w:r w:rsidR="00874348" w:rsidRPr="00874348">
        <w:rPr>
          <w:rFonts w:eastAsia="Times New Roman"/>
          <w:lang w:val="fr-FR"/>
        </w:rPr>
        <w:t>’</w:t>
      </w:r>
      <w:r w:rsidRPr="00874348">
        <w:rPr>
          <w:rFonts w:eastAsia="Times New Roman"/>
          <w:lang w:val="fr-FR"/>
        </w:rPr>
        <w:t>homme et des libertés fondamentales (« la Convention »). La vice-présidente de l</w:t>
      </w:r>
      <w:r w:rsidR="00874348" w:rsidRPr="00874348">
        <w:rPr>
          <w:rFonts w:eastAsia="Times New Roman"/>
          <w:lang w:val="fr-FR"/>
        </w:rPr>
        <w:t>’</w:t>
      </w:r>
      <w:r w:rsidRPr="00874348">
        <w:rPr>
          <w:rFonts w:eastAsia="Times New Roman"/>
          <w:lang w:val="fr-FR"/>
        </w:rPr>
        <w:t>ancienne deuxième section a accédé à la demande de non-divulgation de leur identité formulée par les requérants ainsi qu</w:t>
      </w:r>
      <w:r w:rsidR="00874348" w:rsidRPr="00874348">
        <w:rPr>
          <w:rFonts w:eastAsia="Times New Roman"/>
          <w:lang w:val="fr-FR"/>
        </w:rPr>
        <w:t>’</w:t>
      </w:r>
      <w:r w:rsidRPr="00874348">
        <w:rPr>
          <w:rFonts w:eastAsia="Times New Roman"/>
          <w:lang w:val="fr-FR"/>
        </w:rPr>
        <w:t>à leur demande de traiter ces affaire en priorité (articles 47 § 4 et 41 du règlement de la Cour).</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w:t>
      </w:r>
      <w:r w:rsidRPr="00874348">
        <w:rPr>
          <w:rFonts w:eastAsia="Times New Roman"/>
          <w:lang w:val="fr-FR"/>
        </w:rPr>
        <w:fldChar w:fldCharType="end"/>
      </w:r>
      <w:r w:rsidRPr="00874348">
        <w:rPr>
          <w:rFonts w:eastAsia="Times New Roman"/>
          <w:lang w:val="fr-FR"/>
        </w:rPr>
        <w:t>.  Les noms des représentants des requérants sont indiqués dans la liste B en annexe. Le gouvernement italien (« le Gouvernement ») a été représenté par son agente, M</w:t>
      </w:r>
      <w:r w:rsidRPr="00874348">
        <w:rPr>
          <w:rFonts w:eastAsia="Times New Roman"/>
          <w:vertAlign w:val="superscript"/>
          <w:lang w:val="fr-FR"/>
        </w:rPr>
        <w:t>me</w:t>
      </w:r>
      <w:r w:rsidRPr="00874348">
        <w:rPr>
          <w:rFonts w:eastAsia="Times New Roman"/>
          <w:lang w:val="fr-FR"/>
        </w:rPr>
        <w:t xml:space="preserve"> E. Spatafora, ainsi que par sa coagente, M</w:t>
      </w:r>
      <w:r w:rsidRPr="00874348">
        <w:rPr>
          <w:rFonts w:eastAsia="Times New Roman"/>
          <w:vertAlign w:val="superscript"/>
          <w:lang w:val="fr-FR"/>
        </w:rPr>
        <w:t>me </w:t>
      </w:r>
      <w:r w:rsidRPr="00874348">
        <w:rPr>
          <w:rFonts w:eastAsia="Times New Roman"/>
          <w:lang w:val="fr-FR"/>
        </w:rPr>
        <w:t>P. Accardo.</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w:t>
      </w:r>
      <w:r w:rsidRPr="00874348">
        <w:rPr>
          <w:rFonts w:eastAsia="Times New Roman"/>
          <w:lang w:val="fr-FR"/>
        </w:rPr>
        <w:fldChar w:fldCharType="end"/>
      </w:r>
      <w:r w:rsidRPr="00874348">
        <w:rPr>
          <w:rFonts w:eastAsia="Times New Roman"/>
          <w:lang w:val="fr-FR"/>
        </w:rPr>
        <w:t>.  Les requérants se plaignent en particulier de l</w:t>
      </w:r>
      <w:r w:rsidR="00874348" w:rsidRPr="00874348">
        <w:rPr>
          <w:rFonts w:eastAsia="Times New Roman"/>
          <w:lang w:val="fr-FR"/>
        </w:rPr>
        <w:t>’</w:t>
      </w:r>
      <w:r w:rsidRPr="00874348">
        <w:rPr>
          <w:rFonts w:eastAsia="Times New Roman"/>
          <w:lang w:val="fr-FR"/>
        </w:rPr>
        <w:t>introduction de nouveaux critères établis par la loi leur empêchant de parvenir aux règlements à l</w:t>
      </w:r>
      <w:r w:rsidR="00874348" w:rsidRPr="00874348">
        <w:rPr>
          <w:rFonts w:eastAsia="Times New Roman"/>
          <w:lang w:val="fr-FR"/>
        </w:rPr>
        <w:t>’</w:t>
      </w:r>
      <w:r w:rsidRPr="00874348">
        <w:rPr>
          <w:rFonts w:eastAsia="Times New Roman"/>
          <w:lang w:val="fr-FR"/>
        </w:rPr>
        <w:t>amiable de leurs actions civiles. Celles-ci avaient été introduites afin d</w:t>
      </w:r>
      <w:r w:rsidR="00874348" w:rsidRPr="00874348">
        <w:rPr>
          <w:rFonts w:eastAsia="Times New Roman"/>
          <w:lang w:val="fr-FR"/>
        </w:rPr>
        <w:t>’</w:t>
      </w:r>
      <w:r w:rsidRPr="00874348">
        <w:rPr>
          <w:rFonts w:eastAsia="Times New Roman"/>
          <w:lang w:val="fr-FR"/>
        </w:rPr>
        <w:t xml:space="preserve">obtenir le dédommagement des préjudices subis par les requérants ou leur </w:t>
      </w:r>
      <w:r w:rsidRPr="00874348">
        <w:rPr>
          <w:rFonts w:eastAsia="Times New Roman"/>
          <w:i/>
          <w:lang w:val="fr-FR"/>
        </w:rPr>
        <w:t>de cujus</w:t>
      </w:r>
      <w:r w:rsidRPr="00874348">
        <w:rPr>
          <w:rFonts w:eastAsia="Times New Roman"/>
          <w:lang w:val="fr-FR"/>
        </w:rPr>
        <w:t xml:space="preserve"> à la suite d</w:t>
      </w:r>
      <w:r w:rsidR="00874348" w:rsidRPr="00874348">
        <w:rPr>
          <w:rFonts w:eastAsia="Times New Roman"/>
          <w:lang w:val="fr-FR"/>
        </w:rPr>
        <w:t>’</w:t>
      </w:r>
      <w:r w:rsidRPr="00874348">
        <w:rPr>
          <w:rFonts w:eastAsia="Times New Roman"/>
          <w:lang w:val="fr-FR"/>
        </w:rPr>
        <w:t>infections post-transfusionnelles (articles 2, 6 § 1, 8 et 13 de la Convention et 1 du Protocole n</w:t>
      </w:r>
      <w:r w:rsidRPr="00874348">
        <w:rPr>
          <w:rFonts w:eastAsia="Times New Roman"/>
          <w:vertAlign w:val="superscript"/>
          <w:lang w:val="fr-FR"/>
        </w:rPr>
        <w:t>o</w:t>
      </w:r>
      <w:r w:rsidRPr="00874348">
        <w:rPr>
          <w:rFonts w:eastAsia="Times New Roman"/>
          <w:lang w:val="fr-FR"/>
        </w:rPr>
        <w:t xml:space="preserve"> 1).</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4</w:t>
      </w:r>
      <w:r w:rsidRPr="00874348">
        <w:rPr>
          <w:rFonts w:eastAsia="Times New Roman"/>
          <w:lang w:val="fr-FR"/>
        </w:rPr>
        <w:fldChar w:fldCharType="end"/>
      </w:r>
      <w:r w:rsidRPr="00874348">
        <w:rPr>
          <w:rFonts w:eastAsia="Times New Roman"/>
          <w:lang w:val="fr-FR"/>
        </w:rPr>
        <w:t>.  Certains requérants dénoncent la longueur excessive des procédures en dédommagement (article 2, volet procédural).</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5</w:t>
      </w:r>
      <w:r w:rsidRPr="00874348">
        <w:rPr>
          <w:rFonts w:eastAsia="Times New Roman"/>
          <w:lang w:val="fr-FR"/>
        </w:rPr>
        <w:fldChar w:fldCharType="end"/>
      </w:r>
      <w:r w:rsidRPr="00874348">
        <w:rPr>
          <w:rFonts w:eastAsia="Times New Roman"/>
          <w:lang w:val="fr-FR"/>
        </w:rPr>
        <w:t>.  Une partie des requérants se plaignent aussi de la non-exécution des décisions judiciaires rendues en leur faveur (articles 6 § 1 et 13 de la Convention et 1 du Protocole n</w:t>
      </w:r>
      <w:r w:rsidRPr="00874348">
        <w:rPr>
          <w:rFonts w:eastAsia="Times New Roman"/>
          <w:vertAlign w:val="superscript"/>
          <w:lang w:val="fr-FR"/>
        </w:rPr>
        <w:t>o</w:t>
      </w:r>
      <w:r w:rsidRPr="00874348">
        <w:rPr>
          <w:rFonts w:eastAsia="Times New Roman"/>
          <w:lang w:val="fr-FR"/>
        </w:rPr>
        <w:t xml:space="preserve"> 1).</w:t>
      </w:r>
    </w:p>
    <w:p w:rsidR="00506071" w:rsidRPr="00874348" w:rsidRDefault="00506071" w:rsidP="00874348">
      <w:pPr>
        <w:pStyle w:val="ECHRPara"/>
        <w:rPr>
          <w:rFonts w:eastAsia="Times New Roman"/>
          <w:szCs w:val="24"/>
          <w:lang w:val="fr-FR" w:eastAsia="en-GB"/>
        </w:rPr>
      </w:pPr>
      <w:r w:rsidRPr="00874348">
        <w:rPr>
          <w:rFonts w:eastAsia="Times New Roman"/>
          <w:lang w:val="fr-FR"/>
        </w:rPr>
        <w:lastRenderedPageBreak/>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w:t>
      </w:r>
      <w:r w:rsidRPr="00874348">
        <w:rPr>
          <w:rFonts w:eastAsia="Times New Roman"/>
          <w:lang w:val="fr-FR"/>
        </w:rPr>
        <w:fldChar w:fldCharType="end"/>
      </w:r>
      <w:r w:rsidRPr="00874348">
        <w:rPr>
          <w:rFonts w:eastAsia="Times New Roman"/>
          <w:lang w:val="fr-FR"/>
        </w:rPr>
        <w:t>.  Le 2 juillet et le 18 décembre 2013 les requêtes indiquées aux n</w:t>
      </w:r>
      <w:r w:rsidRPr="00874348">
        <w:rPr>
          <w:rFonts w:eastAsia="Times New Roman"/>
          <w:vertAlign w:val="superscript"/>
          <w:lang w:val="fr-FR"/>
        </w:rPr>
        <w:t>os</w:t>
      </w:r>
      <w:r w:rsidR="00313171" w:rsidRPr="00874348">
        <w:rPr>
          <w:rFonts w:eastAsia="Times New Roman"/>
          <w:lang w:val="fr-FR"/>
        </w:rPr>
        <w:t xml:space="preserve"> 16 à </w:t>
      </w:r>
      <w:r w:rsidRPr="00874348">
        <w:rPr>
          <w:rFonts w:eastAsia="Times New Roman"/>
          <w:lang w:val="fr-FR"/>
        </w:rPr>
        <w:t>19 et celles indiquées aux n</w:t>
      </w:r>
      <w:r w:rsidRPr="00874348">
        <w:rPr>
          <w:rFonts w:eastAsia="Times New Roman"/>
          <w:vertAlign w:val="superscript"/>
          <w:lang w:val="fr-FR"/>
        </w:rPr>
        <w:t>os</w:t>
      </w:r>
      <w:r w:rsidRPr="00874348">
        <w:rPr>
          <w:rFonts w:eastAsia="Times New Roman"/>
          <w:lang w:val="fr-FR"/>
        </w:rPr>
        <w:t xml:space="preserve"> 1 à 15 dans la liste annexe ont été respectivement communiquées au Gouvernement.</w:t>
      </w:r>
    </w:p>
    <w:p w:rsidR="00506071" w:rsidRPr="00874348" w:rsidRDefault="00506071" w:rsidP="00874348">
      <w:pPr>
        <w:pStyle w:val="ECHRTitle1"/>
        <w:rPr>
          <w:rFonts w:eastAsia="Times New Roman"/>
          <w:lang w:val="fr-FR"/>
        </w:rPr>
      </w:pPr>
      <w:r w:rsidRPr="00874348">
        <w:rPr>
          <w:rFonts w:eastAsia="Times New Roman"/>
          <w:lang w:val="fr-FR"/>
        </w:rPr>
        <w:t>EN FAIT</w:t>
      </w:r>
    </w:p>
    <w:p w:rsidR="00506071" w:rsidRPr="00874348" w:rsidRDefault="00506071" w:rsidP="00874348">
      <w:pPr>
        <w:pStyle w:val="ECHRHeading1"/>
        <w:rPr>
          <w:lang w:val="fr-FR"/>
        </w:rPr>
      </w:pPr>
      <w:r w:rsidRPr="00874348">
        <w:rPr>
          <w:lang w:val="fr-FR"/>
        </w:rPr>
        <w:t>I.  LES CIRCONSTANCES DE L</w:t>
      </w:r>
      <w:r w:rsidR="00874348" w:rsidRPr="00874348">
        <w:rPr>
          <w:lang w:val="fr-FR"/>
        </w:rPr>
        <w:t>’</w:t>
      </w:r>
      <w:r w:rsidRPr="00874348">
        <w:rPr>
          <w:lang w:val="fr-FR"/>
        </w:rPr>
        <w:t>ESPÈCE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w:t>
      </w:r>
      <w:r w:rsidRPr="00874348">
        <w:rPr>
          <w:rFonts w:eastAsia="Times New Roman"/>
          <w:lang w:val="fr-FR"/>
        </w:rPr>
        <w:fldChar w:fldCharType="end"/>
      </w:r>
      <w:r w:rsidRPr="00874348">
        <w:rPr>
          <w:rFonts w:eastAsia="Times New Roman"/>
          <w:lang w:val="fr-FR"/>
        </w:rPr>
        <w:t>.  Les dates de naissance et les lieux de résidence des requérants sont indiqués dans la liste B en annexe.</w:t>
      </w:r>
    </w:p>
    <w:p w:rsidR="00506071" w:rsidRPr="00874348" w:rsidRDefault="00506071" w:rsidP="00874348">
      <w:pPr>
        <w:pStyle w:val="ECHRHeading2"/>
        <w:rPr>
          <w:rFonts w:eastAsia="Times New Roman"/>
          <w:lang w:val="fr-FR"/>
        </w:rPr>
      </w:pPr>
      <w:r w:rsidRPr="00874348">
        <w:rPr>
          <w:rFonts w:eastAsia="Times New Roman"/>
          <w:lang w:val="fr-FR"/>
        </w:rPr>
        <w:t>A.  Les procédures en dédommagement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8</w:t>
      </w:r>
      <w:r w:rsidRPr="00874348">
        <w:rPr>
          <w:rFonts w:eastAsia="Times New Roman"/>
          <w:lang w:val="fr-FR"/>
        </w:rPr>
        <w:fldChar w:fldCharType="end"/>
      </w:r>
      <w:r w:rsidRPr="00874348">
        <w:rPr>
          <w:rFonts w:eastAsia="Times New Roman"/>
          <w:lang w:val="fr-FR"/>
        </w:rPr>
        <w:t xml:space="preserve">.  Les requérants ou leurs </w:t>
      </w:r>
      <w:r w:rsidRPr="00874348">
        <w:rPr>
          <w:rFonts w:eastAsia="Times New Roman"/>
          <w:i/>
          <w:lang w:val="fr-FR"/>
        </w:rPr>
        <w:t>de cujus</w:t>
      </w:r>
      <w:r w:rsidRPr="00874348">
        <w:rPr>
          <w:rFonts w:eastAsia="Times New Roman"/>
          <w:lang w:val="fr-FR"/>
        </w:rPr>
        <w:t xml:space="preserve"> ont été infectés par différents virus (HIV, hépatite B ou hépatite C) lors de transfusions de sang ayant eu lieu en raison de pathologies dont ils étaient affectés (thalassémie ou hémophilie) ou d</w:t>
      </w:r>
      <w:r w:rsidR="00874348" w:rsidRPr="00874348">
        <w:rPr>
          <w:rFonts w:eastAsia="Times New Roman"/>
          <w:lang w:val="fr-FR"/>
        </w:rPr>
        <w:t>’</w:t>
      </w:r>
      <w:r w:rsidRPr="00874348">
        <w:rPr>
          <w:rFonts w:eastAsia="Times New Roman"/>
          <w:lang w:val="fr-FR"/>
        </w:rPr>
        <w:t>opérations chirurgicales qu</w:t>
      </w:r>
      <w:r w:rsidR="00874348" w:rsidRPr="00874348">
        <w:rPr>
          <w:rFonts w:eastAsia="Times New Roman"/>
          <w:lang w:val="fr-FR"/>
        </w:rPr>
        <w:t>’</w:t>
      </w:r>
      <w:r w:rsidRPr="00874348">
        <w:rPr>
          <w:rFonts w:eastAsia="Times New Roman"/>
          <w:lang w:val="fr-FR"/>
        </w:rPr>
        <w:t>ils avaient subi.</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9</w:t>
      </w:r>
      <w:r w:rsidRPr="00874348">
        <w:rPr>
          <w:rFonts w:eastAsia="Times New Roman"/>
          <w:lang w:val="fr-FR"/>
        </w:rPr>
        <w:fldChar w:fldCharType="end"/>
      </w:r>
      <w:r w:rsidRPr="00874348">
        <w:rPr>
          <w:rFonts w:eastAsia="Times New Roman"/>
          <w:lang w:val="fr-FR"/>
        </w:rPr>
        <w:t xml:space="preserve">.  Les requérants ou leurs </w:t>
      </w:r>
      <w:r w:rsidRPr="00874348">
        <w:rPr>
          <w:rFonts w:eastAsia="Times New Roman"/>
          <w:i/>
          <w:lang w:val="fr-FR"/>
        </w:rPr>
        <w:t>de cujus</w:t>
      </w:r>
      <w:r w:rsidRPr="00874348">
        <w:rPr>
          <w:rFonts w:eastAsia="Times New Roman"/>
          <w:lang w:val="fr-FR"/>
        </w:rPr>
        <w:t xml:space="preserve"> sont, ou étaient, titulaires d</w:t>
      </w:r>
      <w:r w:rsidR="00874348" w:rsidRPr="00874348">
        <w:rPr>
          <w:rFonts w:eastAsia="Times New Roman"/>
          <w:lang w:val="fr-FR"/>
        </w:rPr>
        <w:t>’</w:t>
      </w:r>
      <w:r w:rsidRPr="00874348">
        <w:rPr>
          <w:rFonts w:eastAsia="Times New Roman"/>
          <w:lang w:val="fr-FR"/>
        </w:rPr>
        <w:t>un droit d</w:t>
      </w:r>
      <w:r w:rsidR="00874348" w:rsidRPr="00874348">
        <w:rPr>
          <w:rFonts w:eastAsia="Times New Roman"/>
          <w:lang w:val="fr-FR"/>
        </w:rPr>
        <w:t>’</w:t>
      </w:r>
      <w:r w:rsidRPr="00874348">
        <w:rPr>
          <w:rFonts w:eastAsia="Times New Roman"/>
          <w:lang w:val="fr-FR"/>
        </w:rPr>
        <w:t>indemnisation administrative prévue par la loi n</w:t>
      </w:r>
      <w:r w:rsidRPr="00874348">
        <w:rPr>
          <w:rFonts w:eastAsia="Times New Roman"/>
          <w:vertAlign w:val="superscript"/>
          <w:lang w:val="fr-FR"/>
        </w:rPr>
        <w:t>o</w:t>
      </w:r>
      <w:r w:rsidRPr="00874348">
        <w:rPr>
          <w:rFonts w:eastAsia="Times New Roman"/>
          <w:lang w:val="fr-FR"/>
        </w:rPr>
        <w:t xml:space="preserve"> 210 du 25 février 1992 (paragraphes 29 et 30 ci-dessous), le lien de causalité entre la transfusion de sang infecté et leur contamination ayant été prouvé.</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w:t>
      </w:r>
      <w:r w:rsidRPr="00874348">
        <w:rPr>
          <w:rFonts w:eastAsia="Times New Roman"/>
          <w:lang w:val="fr-FR"/>
        </w:rPr>
        <w:fldChar w:fldCharType="end"/>
      </w:r>
      <w:r w:rsidRPr="00874348">
        <w:rPr>
          <w:rFonts w:eastAsia="Times New Roman"/>
          <w:lang w:val="fr-FR"/>
        </w:rPr>
        <w:t xml:space="preserve">.  À différentes dates (indiquées dans la liste B en annexe), les requérants ou leurs </w:t>
      </w:r>
      <w:r w:rsidRPr="00874348">
        <w:rPr>
          <w:rFonts w:eastAsia="Times New Roman"/>
          <w:i/>
          <w:lang w:val="fr-FR"/>
        </w:rPr>
        <w:t>de cujus</w:t>
      </w:r>
      <w:r w:rsidRPr="00874348">
        <w:rPr>
          <w:rFonts w:eastAsia="Times New Roman"/>
          <w:lang w:val="fr-FR"/>
        </w:rPr>
        <w:t xml:space="preserve"> saisirent le ministère de la Santé d</w:t>
      </w:r>
      <w:r w:rsidR="00874348" w:rsidRPr="00874348">
        <w:rPr>
          <w:rFonts w:eastAsia="Times New Roman"/>
          <w:lang w:val="fr-FR"/>
        </w:rPr>
        <w:t>’</w:t>
      </w:r>
      <w:r w:rsidRPr="00874348">
        <w:rPr>
          <w:rFonts w:eastAsia="Times New Roman"/>
          <w:lang w:val="fr-FR"/>
        </w:rPr>
        <w:t>actions civiles visant à obtenir la réparation des dommages qu</w:t>
      </w:r>
      <w:r w:rsidR="00874348" w:rsidRPr="00874348">
        <w:rPr>
          <w:rFonts w:eastAsia="Times New Roman"/>
          <w:lang w:val="fr-FR"/>
        </w:rPr>
        <w:t>’</w:t>
      </w:r>
      <w:r w:rsidRPr="00874348">
        <w:rPr>
          <w:rFonts w:eastAsia="Times New Roman"/>
          <w:lang w:val="fr-FR"/>
        </w:rPr>
        <w:t>ils estimaient avoir subis à la suite de leur contamination.</w:t>
      </w:r>
    </w:p>
    <w:p w:rsidR="00506071" w:rsidRPr="00874348" w:rsidRDefault="006565C8" w:rsidP="00874348">
      <w:pPr>
        <w:pStyle w:val="ECHRHeading2"/>
        <w:rPr>
          <w:rFonts w:eastAsia="Times New Roman"/>
          <w:i/>
          <w:lang w:val="fr-FR" w:eastAsia="fr-FR"/>
        </w:rPr>
      </w:pPr>
      <w:r w:rsidRPr="00874348">
        <w:rPr>
          <w:rFonts w:eastAsia="Times New Roman"/>
          <w:lang w:val="fr-FR" w:eastAsia="fr-FR"/>
        </w:rPr>
        <w:t>B.  </w:t>
      </w:r>
      <w:r w:rsidR="00506071" w:rsidRPr="00874348">
        <w:rPr>
          <w:rFonts w:eastAsia="Times New Roman"/>
          <w:lang w:val="fr-FR" w:eastAsia="fr-FR"/>
        </w:rPr>
        <w:t>Les faits spécifiques à la requête n</w:t>
      </w:r>
      <w:r w:rsidR="00506071" w:rsidRPr="00874348">
        <w:rPr>
          <w:rFonts w:eastAsia="Times New Roman"/>
          <w:vertAlign w:val="superscript"/>
          <w:lang w:val="fr-FR" w:eastAsia="fr-FR"/>
        </w:rPr>
        <w:t>o</w:t>
      </w:r>
      <w:r w:rsidR="00506071" w:rsidRPr="00874348">
        <w:rPr>
          <w:rFonts w:eastAsia="Times New Roman"/>
          <w:lang w:val="fr-FR" w:eastAsia="fr-FR"/>
        </w:rPr>
        <w:t xml:space="preserve"> 68060/12 D.A. et vingt-trois autres requérants</w:t>
      </w:r>
    </w:p>
    <w:p w:rsidR="00506071" w:rsidRPr="00874348" w:rsidRDefault="00506071" w:rsidP="00874348">
      <w:pPr>
        <w:pStyle w:val="ECHRPara"/>
        <w:rPr>
          <w:rFonts w:eastAsia="Times New Roman"/>
          <w:lang w:val="fr-FR" w:eastAsia="fr-FR"/>
        </w:rPr>
      </w:pPr>
      <w:r w:rsidRPr="00874348">
        <w:rPr>
          <w:rFonts w:eastAsia="Times New Roman"/>
          <w:lang w:val="fr-FR" w:eastAsia="fr-FR"/>
        </w:rPr>
        <w:fldChar w:fldCharType="begin"/>
      </w:r>
      <w:r w:rsidRPr="00874348">
        <w:rPr>
          <w:rFonts w:eastAsia="Times New Roman"/>
          <w:lang w:val="fr-FR" w:eastAsia="fr-FR"/>
        </w:rPr>
        <w:instrText xml:space="preserve"> SEQ level0 \*arabic </w:instrText>
      </w:r>
      <w:r w:rsidRPr="00874348">
        <w:rPr>
          <w:rFonts w:eastAsia="Times New Roman"/>
          <w:lang w:val="fr-FR" w:eastAsia="fr-FR"/>
        </w:rPr>
        <w:fldChar w:fldCharType="separate"/>
      </w:r>
      <w:r w:rsidR="00874348" w:rsidRPr="00874348">
        <w:rPr>
          <w:rFonts w:eastAsia="Times New Roman"/>
          <w:noProof/>
          <w:lang w:val="fr-FR" w:eastAsia="fr-FR"/>
        </w:rPr>
        <w:t>11</w:t>
      </w:r>
      <w:r w:rsidRPr="00874348">
        <w:rPr>
          <w:rFonts w:eastAsia="Times New Roman"/>
          <w:lang w:val="fr-FR" w:eastAsia="fr-FR"/>
        </w:rPr>
        <w:fldChar w:fldCharType="end"/>
      </w:r>
      <w:r w:rsidRPr="00874348">
        <w:rPr>
          <w:rFonts w:eastAsia="Times New Roman"/>
          <w:lang w:val="fr-FR" w:eastAsia="fr-FR"/>
        </w:rPr>
        <w:t>.  À des dates non précisées, les requérants introduisirent un recours devant le tribunal administratif régional des Pouilles, section de Lecce (TAR), afin de voir déclarer illégitime le silence de l</w:t>
      </w:r>
      <w:r w:rsidR="00874348" w:rsidRPr="00874348">
        <w:rPr>
          <w:rFonts w:eastAsia="Times New Roman"/>
          <w:lang w:val="fr-FR" w:eastAsia="fr-FR"/>
        </w:rPr>
        <w:t>’</w:t>
      </w:r>
      <w:r w:rsidRPr="00874348">
        <w:rPr>
          <w:rFonts w:eastAsia="Times New Roman"/>
          <w:lang w:val="fr-FR" w:eastAsia="fr-FR"/>
        </w:rPr>
        <w:t>administration par rapport à l</w:t>
      </w:r>
      <w:r w:rsidR="00874348" w:rsidRPr="00874348">
        <w:rPr>
          <w:rFonts w:eastAsia="Times New Roman"/>
          <w:lang w:val="fr-FR" w:eastAsia="fr-FR"/>
        </w:rPr>
        <w:t>’</w:t>
      </w:r>
      <w:r w:rsidRPr="00874348">
        <w:rPr>
          <w:rFonts w:eastAsia="Times New Roman"/>
          <w:lang w:val="fr-FR" w:eastAsia="fr-FR"/>
        </w:rPr>
        <w:t>engagement du ministère de la Santé de conclure les règlements à l</w:t>
      </w:r>
      <w:r w:rsidR="00874348" w:rsidRPr="00874348">
        <w:rPr>
          <w:rFonts w:eastAsia="Times New Roman"/>
          <w:lang w:val="fr-FR" w:eastAsia="fr-FR"/>
        </w:rPr>
        <w:t>’</w:t>
      </w:r>
      <w:r w:rsidRPr="00874348">
        <w:rPr>
          <w:rFonts w:eastAsia="Times New Roman"/>
          <w:lang w:val="fr-FR" w:eastAsia="fr-FR"/>
        </w:rPr>
        <w:t>amiable de leurs affaires conformément à la loi (paragraphes 31 à 42 ci-dessous).</w:t>
      </w:r>
    </w:p>
    <w:p w:rsidR="00506071" w:rsidRPr="00874348" w:rsidRDefault="00506071" w:rsidP="00874348">
      <w:pPr>
        <w:pStyle w:val="ECHRPara"/>
        <w:rPr>
          <w:rFonts w:eastAsia="Times New Roman"/>
          <w:lang w:val="fr-FR" w:eastAsia="fr-FR"/>
        </w:rPr>
      </w:pPr>
      <w:r w:rsidRPr="00874348">
        <w:rPr>
          <w:rFonts w:eastAsia="Times New Roman"/>
          <w:lang w:val="fr-FR" w:eastAsia="fr-FR"/>
        </w:rPr>
        <w:fldChar w:fldCharType="begin"/>
      </w:r>
      <w:r w:rsidRPr="00874348">
        <w:rPr>
          <w:rFonts w:eastAsia="Times New Roman"/>
          <w:lang w:val="fr-FR" w:eastAsia="fr-FR"/>
        </w:rPr>
        <w:instrText xml:space="preserve"> SEQ level0 \*arabic </w:instrText>
      </w:r>
      <w:r w:rsidRPr="00874348">
        <w:rPr>
          <w:rFonts w:eastAsia="Times New Roman"/>
          <w:lang w:val="fr-FR" w:eastAsia="fr-FR"/>
        </w:rPr>
        <w:fldChar w:fldCharType="separate"/>
      </w:r>
      <w:r w:rsidR="00874348" w:rsidRPr="00874348">
        <w:rPr>
          <w:rFonts w:eastAsia="Times New Roman"/>
          <w:noProof/>
          <w:lang w:val="fr-FR" w:eastAsia="fr-FR"/>
        </w:rPr>
        <w:t>12</w:t>
      </w:r>
      <w:r w:rsidRPr="00874348">
        <w:rPr>
          <w:rFonts w:eastAsia="Times New Roman"/>
          <w:lang w:val="fr-FR" w:eastAsia="fr-FR"/>
        </w:rPr>
        <w:fldChar w:fldCharType="end"/>
      </w:r>
      <w:r w:rsidRPr="00874348">
        <w:rPr>
          <w:rFonts w:eastAsia="Times New Roman"/>
          <w:lang w:val="fr-FR" w:eastAsia="fr-FR"/>
        </w:rPr>
        <w:t>.  Par un jugement du 24 février 2011, le TAR fit droit à la demande des requérants constatant l</w:t>
      </w:r>
      <w:r w:rsidR="00874348" w:rsidRPr="00874348">
        <w:rPr>
          <w:rFonts w:eastAsia="Times New Roman"/>
          <w:lang w:val="fr-FR" w:eastAsia="fr-FR"/>
        </w:rPr>
        <w:t>’</w:t>
      </w:r>
      <w:r w:rsidRPr="00874348">
        <w:rPr>
          <w:rFonts w:eastAsia="Times New Roman"/>
          <w:lang w:val="fr-FR" w:eastAsia="fr-FR"/>
        </w:rPr>
        <w:t>existence d</w:t>
      </w:r>
      <w:r w:rsidR="00874348" w:rsidRPr="00874348">
        <w:rPr>
          <w:rFonts w:eastAsia="Times New Roman"/>
          <w:lang w:val="fr-FR" w:eastAsia="fr-FR"/>
        </w:rPr>
        <w:t>’</w:t>
      </w:r>
      <w:r w:rsidRPr="00874348">
        <w:rPr>
          <w:rFonts w:eastAsia="Times New Roman"/>
          <w:lang w:val="fr-FR" w:eastAsia="fr-FR"/>
        </w:rPr>
        <w:t>une obligation du Gouvernement de conclure les règlements litigieux à travers une mesure à adopter à cet effet. Partant il ordonna au ministère de la Santé de prendre les mesures administratives nécessaires dans un délai de cent cinquante jours à partir de la signification du jugement.</w:t>
      </w:r>
    </w:p>
    <w:p w:rsidR="00506071" w:rsidRPr="00874348" w:rsidRDefault="00506071" w:rsidP="00874348">
      <w:pPr>
        <w:pStyle w:val="ECHRPara"/>
        <w:rPr>
          <w:rFonts w:eastAsia="Times New Roman"/>
          <w:lang w:val="fr-FR" w:eastAsia="fr-FR"/>
        </w:rPr>
      </w:pPr>
      <w:r w:rsidRPr="00874348">
        <w:rPr>
          <w:rFonts w:eastAsia="Times New Roman"/>
          <w:lang w:val="fr-FR" w:eastAsia="fr-FR"/>
        </w:rPr>
        <w:lastRenderedPageBreak/>
        <w:fldChar w:fldCharType="begin"/>
      </w:r>
      <w:r w:rsidRPr="00874348">
        <w:rPr>
          <w:rFonts w:eastAsia="Times New Roman"/>
          <w:lang w:val="fr-FR" w:eastAsia="fr-FR"/>
        </w:rPr>
        <w:instrText xml:space="preserve"> SEQ level0 \*arabic </w:instrText>
      </w:r>
      <w:r w:rsidRPr="00874348">
        <w:rPr>
          <w:rFonts w:eastAsia="Times New Roman"/>
          <w:lang w:val="fr-FR" w:eastAsia="fr-FR"/>
        </w:rPr>
        <w:fldChar w:fldCharType="separate"/>
      </w:r>
      <w:r w:rsidR="00874348" w:rsidRPr="00874348">
        <w:rPr>
          <w:rFonts w:eastAsia="Times New Roman"/>
          <w:noProof/>
          <w:lang w:val="fr-FR" w:eastAsia="fr-FR"/>
        </w:rPr>
        <w:t>13</w:t>
      </w:r>
      <w:r w:rsidRPr="00874348">
        <w:rPr>
          <w:rFonts w:eastAsia="Times New Roman"/>
          <w:lang w:val="fr-FR" w:eastAsia="fr-FR"/>
        </w:rPr>
        <w:fldChar w:fldCharType="end"/>
      </w:r>
      <w:r w:rsidRPr="00874348">
        <w:rPr>
          <w:rFonts w:eastAsia="Times New Roman"/>
          <w:lang w:val="fr-FR" w:eastAsia="fr-FR"/>
        </w:rPr>
        <w:t>.  Le ministère de la Santé ayant interjeté appel, par un arrêt déposé le 24 novembre 2011, le Conseil d</w:t>
      </w:r>
      <w:r w:rsidR="00874348" w:rsidRPr="00874348">
        <w:rPr>
          <w:rFonts w:eastAsia="Times New Roman"/>
          <w:lang w:val="fr-FR" w:eastAsia="fr-FR"/>
        </w:rPr>
        <w:t>’</w:t>
      </w:r>
      <w:r w:rsidRPr="00874348">
        <w:rPr>
          <w:rFonts w:eastAsia="Times New Roman"/>
          <w:lang w:val="fr-FR" w:eastAsia="fr-FR"/>
        </w:rPr>
        <w:t>État confirma le jugement de première instance.</w:t>
      </w:r>
    </w:p>
    <w:p w:rsidR="00506071" w:rsidRPr="00874348" w:rsidRDefault="00506071" w:rsidP="00874348">
      <w:pPr>
        <w:pStyle w:val="ECHRPara"/>
        <w:rPr>
          <w:rFonts w:eastAsia="Times New Roman"/>
          <w:lang w:val="fr-FR" w:eastAsia="fr-FR"/>
        </w:rPr>
      </w:pPr>
      <w:r w:rsidRPr="00874348">
        <w:rPr>
          <w:rFonts w:eastAsia="Times New Roman"/>
          <w:lang w:val="fr-FR" w:eastAsia="fr-FR"/>
        </w:rPr>
        <w:fldChar w:fldCharType="begin"/>
      </w:r>
      <w:r w:rsidRPr="00874348">
        <w:rPr>
          <w:rFonts w:eastAsia="Times New Roman"/>
          <w:lang w:val="fr-FR" w:eastAsia="fr-FR"/>
        </w:rPr>
        <w:instrText xml:space="preserve"> SEQ level0 \*arabic </w:instrText>
      </w:r>
      <w:r w:rsidRPr="00874348">
        <w:rPr>
          <w:rFonts w:eastAsia="Times New Roman"/>
          <w:lang w:val="fr-FR" w:eastAsia="fr-FR"/>
        </w:rPr>
        <w:fldChar w:fldCharType="separate"/>
      </w:r>
      <w:r w:rsidR="00874348" w:rsidRPr="00874348">
        <w:rPr>
          <w:rFonts w:eastAsia="Times New Roman"/>
          <w:noProof/>
          <w:lang w:val="fr-FR" w:eastAsia="fr-FR"/>
        </w:rPr>
        <w:t>14</w:t>
      </w:r>
      <w:r w:rsidRPr="00874348">
        <w:rPr>
          <w:rFonts w:eastAsia="Times New Roman"/>
          <w:lang w:val="fr-FR" w:eastAsia="fr-FR"/>
        </w:rPr>
        <w:fldChar w:fldCharType="end"/>
      </w:r>
      <w:r w:rsidRPr="00874348">
        <w:rPr>
          <w:rFonts w:eastAsia="Times New Roman"/>
          <w:lang w:val="fr-FR" w:eastAsia="fr-FR"/>
        </w:rPr>
        <w:t>.  Compte tenu de la non-exécution du jugement litigieux dans le délai imparti, à la demande des requérants, par un jugement déposé le 16 février</w:t>
      </w:r>
      <w:r w:rsidR="00313171" w:rsidRPr="00874348">
        <w:rPr>
          <w:rFonts w:eastAsia="Times New Roman"/>
          <w:lang w:val="fr-FR" w:eastAsia="fr-FR"/>
        </w:rPr>
        <w:t xml:space="preserve"> </w:t>
      </w:r>
      <w:r w:rsidRPr="00874348">
        <w:rPr>
          <w:rFonts w:eastAsia="Times New Roman"/>
          <w:lang w:val="fr-FR" w:eastAsia="fr-FR"/>
        </w:rPr>
        <w:t xml:space="preserve">2012, le TAR nomma un commissaire </w:t>
      </w:r>
      <w:r w:rsidRPr="00874348">
        <w:rPr>
          <w:rFonts w:eastAsia="Times New Roman"/>
          <w:i/>
          <w:lang w:val="fr-FR" w:eastAsia="fr-FR"/>
        </w:rPr>
        <w:t>ad acta</w:t>
      </w:r>
      <w:r w:rsidRPr="00874348">
        <w:rPr>
          <w:rFonts w:eastAsia="Times New Roman"/>
          <w:lang w:val="fr-FR" w:eastAsia="fr-FR"/>
        </w:rPr>
        <w:t>.</w:t>
      </w:r>
    </w:p>
    <w:p w:rsidR="00506071" w:rsidRPr="00874348" w:rsidRDefault="00506071" w:rsidP="00874348">
      <w:pPr>
        <w:pStyle w:val="ECHRPara"/>
        <w:rPr>
          <w:rFonts w:eastAsia="Times New Roman"/>
          <w:lang w:val="fr-FR" w:eastAsia="fr-FR"/>
        </w:rPr>
      </w:pPr>
      <w:r w:rsidRPr="00874348">
        <w:rPr>
          <w:rFonts w:eastAsia="Times New Roman"/>
          <w:lang w:val="fr-FR" w:eastAsia="fr-FR"/>
        </w:rPr>
        <w:fldChar w:fldCharType="begin"/>
      </w:r>
      <w:r w:rsidRPr="00874348">
        <w:rPr>
          <w:rFonts w:eastAsia="Times New Roman"/>
          <w:lang w:val="fr-FR" w:eastAsia="fr-FR"/>
        </w:rPr>
        <w:instrText xml:space="preserve"> SEQ level0 \*arabic </w:instrText>
      </w:r>
      <w:r w:rsidRPr="00874348">
        <w:rPr>
          <w:rFonts w:eastAsia="Times New Roman"/>
          <w:lang w:val="fr-FR" w:eastAsia="fr-FR"/>
        </w:rPr>
        <w:fldChar w:fldCharType="separate"/>
      </w:r>
      <w:r w:rsidR="00874348" w:rsidRPr="00874348">
        <w:rPr>
          <w:rFonts w:eastAsia="Times New Roman"/>
          <w:noProof/>
          <w:lang w:val="fr-FR" w:eastAsia="fr-FR"/>
        </w:rPr>
        <w:t>15</w:t>
      </w:r>
      <w:r w:rsidRPr="00874348">
        <w:rPr>
          <w:rFonts w:eastAsia="Times New Roman"/>
          <w:lang w:val="fr-FR" w:eastAsia="fr-FR"/>
        </w:rPr>
        <w:fldChar w:fldCharType="end"/>
      </w:r>
      <w:r w:rsidRPr="00874348">
        <w:rPr>
          <w:rFonts w:eastAsia="Times New Roman"/>
          <w:lang w:val="fr-FR" w:eastAsia="fr-FR"/>
        </w:rPr>
        <w:t>.  À la suite de l</w:t>
      </w:r>
      <w:r w:rsidR="00874348" w:rsidRPr="00874348">
        <w:rPr>
          <w:rFonts w:eastAsia="Times New Roman"/>
          <w:lang w:val="fr-FR" w:eastAsia="fr-FR"/>
        </w:rPr>
        <w:t>’</w:t>
      </w:r>
      <w:r w:rsidRPr="00874348">
        <w:rPr>
          <w:rFonts w:eastAsia="Times New Roman"/>
          <w:lang w:val="fr-FR" w:eastAsia="fr-FR"/>
        </w:rPr>
        <w:t>appel introduit par le ministère de la Santé contre ce dernier jugement, par un arrêt déposé le 10 juillet 2012, le Conseil d</w:t>
      </w:r>
      <w:r w:rsidR="00874348" w:rsidRPr="00874348">
        <w:rPr>
          <w:rFonts w:eastAsia="Times New Roman"/>
          <w:lang w:val="fr-FR" w:eastAsia="fr-FR"/>
        </w:rPr>
        <w:t>’</w:t>
      </w:r>
      <w:r w:rsidRPr="00874348">
        <w:rPr>
          <w:rFonts w:eastAsia="Times New Roman"/>
          <w:lang w:val="fr-FR" w:eastAsia="fr-FR"/>
        </w:rPr>
        <w:t xml:space="preserve">État confirma le jugement de première instance et releva que le commissaire </w:t>
      </w:r>
      <w:r w:rsidRPr="00874348">
        <w:rPr>
          <w:rFonts w:eastAsia="Times New Roman"/>
          <w:i/>
          <w:lang w:val="fr-FR" w:eastAsia="fr-FR"/>
        </w:rPr>
        <w:t>ad acta</w:t>
      </w:r>
      <w:r w:rsidRPr="00874348">
        <w:rPr>
          <w:rFonts w:eastAsia="Times New Roman"/>
          <w:lang w:val="fr-FR" w:eastAsia="fr-FR"/>
        </w:rPr>
        <w:t xml:space="preserve"> avait déjà commencé à travailler efficacement en vue de l</w:t>
      </w:r>
      <w:r w:rsidR="00874348" w:rsidRPr="00874348">
        <w:rPr>
          <w:rFonts w:eastAsia="Times New Roman"/>
          <w:lang w:val="fr-FR" w:eastAsia="fr-FR"/>
        </w:rPr>
        <w:t>’</w:t>
      </w:r>
      <w:r w:rsidRPr="00874348">
        <w:rPr>
          <w:rFonts w:eastAsia="Times New Roman"/>
          <w:lang w:val="fr-FR" w:eastAsia="fr-FR"/>
        </w:rPr>
        <w:t>exécution du jugement sur le fond.</w:t>
      </w:r>
    </w:p>
    <w:p w:rsidR="00506071" w:rsidRPr="00874348" w:rsidRDefault="00506071" w:rsidP="00874348">
      <w:pPr>
        <w:pStyle w:val="ECHRPara"/>
        <w:rPr>
          <w:rFonts w:eastAsia="Times New Roman"/>
          <w:lang w:val="fr-FR" w:eastAsia="fr-FR"/>
        </w:rPr>
      </w:pPr>
      <w:r w:rsidRPr="00874348">
        <w:rPr>
          <w:rFonts w:eastAsia="Times New Roman"/>
          <w:lang w:val="fr-FR" w:eastAsia="fr-FR"/>
        </w:rPr>
        <w:fldChar w:fldCharType="begin"/>
      </w:r>
      <w:r w:rsidRPr="00874348">
        <w:rPr>
          <w:rFonts w:eastAsia="Times New Roman"/>
          <w:lang w:val="fr-FR" w:eastAsia="fr-FR"/>
        </w:rPr>
        <w:instrText xml:space="preserve"> SEQ level0 \*arabic </w:instrText>
      </w:r>
      <w:r w:rsidRPr="00874348">
        <w:rPr>
          <w:rFonts w:eastAsia="Times New Roman"/>
          <w:lang w:val="fr-FR" w:eastAsia="fr-FR"/>
        </w:rPr>
        <w:fldChar w:fldCharType="separate"/>
      </w:r>
      <w:r w:rsidR="00874348" w:rsidRPr="00874348">
        <w:rPr>
          <w:rFonts w:eastAsia="Times New Roman"/>
          <w:noProof/>
          <w:lang w:val="fr-FR" w:eastAsia="fr-FR"/>
        </w:rPr>
        <w:t>16</w:t>
      </w:r>
      <w:r w:rsidRPr="00874348">
        <w:rPr>
          <w:rFonts w:eastAsia="Times New Roman"/>
          <w:lang w:val="fr-FR" w:eastAsia="fr-FR"/>
        </w:rPr>
        <w:fldChar w:fldCharType="end"/>
      </w:r>
      <w:r w:rsidRPr="00874348">
        <w:rPr>
          <w:rFonts w:eastAsia="Times New Roman"/>
          <w:lang w:val="fr-FR" w:eastAsia="fr-FR"/>
        </w:rPr>
        <w:t xml:space="preserve">.  Par un courriel daté du 28 septembre 2012, le commissaire </w:t>
      </w:r>
      <w:r w:rsidRPr="00874348">
        <w:rPr>
          <w:rFonts w:eastAsia="Times New Roman"/>
          <w:i/>
          <w:lang w:val="fr-FR" w:eastAsia="fr-FR"/>
        </w:rPr>
        <w:t>ad acta</w:t>
      </w:r>
      <w:r w:rsidRPr="00874348">
        <w:rPr>
          <w:rFonts w:eastAsia="Times New Roman"/>
          <w:lang w:val="fr-FR" w:eastAsia="fr-FR"/>
        </w:rPr>
        <w:t>, après avoir pris connaissance de la situation spécifique de chacun des requérants, annonça à leur représentant leur probable exclusion de la procédure en règlement amiable, compte tenu notamment de ce que, dans leur cas, au sens des critères établis par l</w:t>
      </w:r>
      <w:r w:rsidR="00874348" w:rsidRPr="00874348">
        <w:rPr>
          <w:rFonts w:eastAsia="Times New Roman"/>
          <w:lang w:val="fr-FR" w:eastAsia="fr-FR"/>
        </w:rPr>
        <w:t>’</w:t>
      </w:r>
      <w:r w:rsidRPr="00874348">
        <w:rPr>
          <w:rFonts w:eastAsia="Times New Roman"/>
          <w:lang w:val="fr-FR" w:eastAsia="fr-FR"/>
        </w:rPr>
        <w:t>article 5 du décret n</w:t>
      </w:r>
      <w:r w:rsidRPr="00874348">
        <w:rPr>
          <w:rFonts w:eastAsia="Times New Roman"/>
          <w:vertAlign w:val="superscript"/>
          <w:lang w:val="fr-FR" w:eastAsia="fr-FR"/>
        </w:rPr>
        <w:t>o</w:t>
      </w:r>
      <w:r w:rsidRPr="00874348">
        <w:rPr>
          <w:rFonts w:eastAsia="Times New Roman"/>
          <w:lang w:val="fr-FR" w:eastAsia="fr-FR"/>
        </w:rPr>
        <w:t xml:space="preserve"> </w:t>
      </w:r>
      <w:r w:rsidRPr="00874348">
        <w:rPr>
          <w:rFonts w:eastAsia="Times New Roman" w:cs="Times New Roman"/>
          <w:lang w:val="fr-FR" w:eastAsia="fr-FR"/>
        </w:rPr>
        <w:t>162/12</w:t>
      </w:r>
      <w:r w:rsidRPr="00874348">
        <w:rPr>
          <w:rFonts w:eastAsia="Times New Roman"/>
          <w:lang w:val="fr-FR" w:eastAsia="fr-FR"/>
        </w:rPr>
        <w:t>, leur demande était prescrite.</w:t>
      </w:r>
    </w:p>
    <w:p w:rsidR="00506071" w:rsidRPr="00874348" w:rsidRDefault="00506071" w:rsidP="00874348">
      <w:pPr>
        <w:pStyle w:val="ECHRHeading2"/>
        <w:rPr>
          <w:rFonts w:eastAsia="Times New Roman"/>
          <w:lang w:val="fr-FR"/>
        </w:rPr>
      </w:pPr>
      <w:r w:rsidRPr="00874348">
        <w:rPr>
          <w:rFonts w:eastAsia="Times New Roman"/>
          <w:lang w:val="fr-FR"/>
        </w:rPr>
        <w:t>C.  L</w:t>
      </w:r>
      <w:r w:rsidR="00874348" w:rsidRPr="00874348">
        <w:rPr>
          <w:rFonts w:eastAsia="Times New Roman"/>
          <w:lang w:val="fr-FR"/>
        </w:rPr>
        <w:t>’</w:t>
      </w:r>
      <w:r w:rsidRPr="00874348">
        <w:rPr>
          <w:rFonts w:eastAsia="Times New Roman"/>
          <w:lang w:val="fr-FR"/>
        </w:rPr>
        <w:t>inexécution des jugements exécutoires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w:t>
      </w:r>
      <w:r w:rsidRPr="00874348">
        <w:rPr>
          <w:rFonts w:eastAsia="Times New Roman"/>
          <w:lang w:val="fr-FR"/>
        </w:rPr>
        <w:fldChar w:fldCharType="end"/>
      </w:r>
      <w:r w:rsidRPr="00874348">
        <w:rPr>
          <w:rFonts w:eastAsia="Times New Roman"/>
          <w:lang w:val="fr-FR"/>
        </w:rPr>
        <w:t>.  En ce qui concerne la requête n</w:t>
      </w:r>
      <w:r w:rsidRPr="00874348">
        <w:rPr>
          <w:rFonts w:eastAsia="Times New Roman"/>
          <w:vertAlign w:val="superscript"/>
          <w:lang w:val="fr-FR"/>
        </w:rPr>
        <w:t>o</w:t>
      </w:r>
      <w:r w:rsidRPr="00874348">
        <w:rPr>
          <w:rFonts w:eastAsia="Times New Roman"/>
          <w:lang w:val="fr-FR"/>
        </w:rPr>
        <w:t xml:space="preserve"> 8154/12, les requérants ont indiqué que douze d</w:t>
      </w:r>
      <w:r w:rsidR="00874348" w:rsidRPr="00874348">
        <w:rPr>
          <w:rFonts w:eastAsia="Times New Roman"/>
          <w:lang w:val="fr-FR"/>
        </w:rPr>
        <w:t>’</w:t>
      </w:r>
      <w:r w:rsidRPr="00874348">
        <w:rPr>
          <w:rFonts w:eastAsia="Times New Roman"/>
          <w:lang w:val="fr-FR"/>
        </w:rPr>
        <w:t>entre eux</w:t>
      </w:r>
      <w:r w:rsidRPr="00874348">
        <w:rPr>
          <w:rFonts w:eastAsia="Times New Roman"/>
          <w:vertAlign w:val="superscript"/>
          <w:lang w:val="fr-FR"/>
        </w:rPr>
        <w:footnoteReference w:id="1"/>
      </w:r>
      <w:r w:rsidRPr="00874348">
        <w:rPr>
          <w:rFonts w:eastAsia="Times New Roman"/>
          <w:lang w:val="fr-FR"/>
        </w:rPr>
        <w:t xml:space="preserve"> eurent gain de cause dans la procédure civile interne en dédommagement qu</w:t>
      </w:r>
      <w:r w:rsidR="00874348" w:rsidRPr="00874348">
        <w:rPr>
          <w:rFonts w:eastAsia="Times New Roman"/>
          <w:lang w:val="fr-FR"/>
        </w:rPr>
        <w:t>’</w:t>
      </w:r>
      <w:r w:rsidRPr="00874348">
        <w:rPr>
          <w:rFonts w:eastAsia="Times New Roman"/>
          <w:lang w:val="fr-FR"/>
        </w:rPr>
        <w:t xml:space="preserve">ils avaient introduites </w:t>
      </w:r>
      <w:r w:rsidRPr="00874348">
        <w:rPr>
          <w:rFonts w:eastAsia="Times New Roman" w:cs="Calibri"/>
          <w:lang w:val="fr-FR"/>
        </w:rPr>
        <w:t>avec des centaines de demandeurs (dénommée « </w:t>
      </w:r>
      <w:r w:rsidRPr="00874348">
        <w:rPr>
          <w:rFonts w:eastAsia="Times New Roman" w:cs="Calibri"/>
          <w:i/>
          <w:lang w:val="fr-FR"/>
        </w:rPr>
        <w:t>Emo-ter</w:t>
      </w:r>
      <w:r w:rsidRPr="00874348">
        <w:rPr>
          <w:rFonts w:eastAsia="Times New Roman" w:cs="Calibri"/>
          <w:lang w:val="fr-FR"/>
        </w:rPr>
        <w:t xml:space="preserve"> ») </w:t>
      </w:r>
      <w:r w:rsidRPr="00874348">
        <w:rPr>
          <w:rFonts w:eastAsia="Times New Roman"/>
          <w:lang w:val="fr-FR"/>
        </w:rPr>
        <w:t>mais que, toutefois, les décisions y relatives n</w:t>
      </w:r>
      <w:r w:rsidR="00874348" w:rsidRPr="00874348">
        <w:rPr>
          <w:rFonts w:eastAsia="Times New Roman"/>
          <w:lang w:val="fr-FR"/>
        </w:rPr>
        <w:t>’</w:t>
      </w:r>
      <w:r w:rsidRPr="00874348">
        <w:rPr>
          <w:rFonts w:eastAsia="Times New Roman"/>
          <w:lang w:val="fr-FR"/>
        </w:rPr>
        <w:t>ont pas été exécutées.</w:t>
      </w:r>
    </w:p>
    <w:p w:rsidR="00506071" w:rsidRPr="00874348" w:rsidRDefault="00506071" w:rsidP="00874348">
      <w:pPr>
        <w:pStyle w:val="ECHRPara"/>
        <w:rPr>
          <w:rFonts w:eastAsia="Times New Roman" w:cs="Calibri"/>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18</w:t>
      </w:r>
      <w:r w:rsidRPr="00874348">
        <w:rPr>
          <w:rFonts w:eastAsia="Times New Roman" w:cs="Calibri"/>
          <w:lang w:val="fr-FR"/>
        </w:rPr>
        <w:fldChar w:fldCharType="end"/>
      </w:r>
      <w:r w:rsidRPr="00874348">
        <w:rPr>
          <w:rFonts w:eastAsia="Times New Roman" w:cs="Calibri"/>
          <w:lang w:val="fr-FR"/>
        </w:rPr>
        <w:t>.  À</w:t>
      </w:r>
      <w:r w:rsidRPr="00874348">
        <w:rPr>
          <w:rFonts w:eastAsia="Times New Roman"/>
          <w:lang w:val="fr-FR"/>
        </w:rPr>
        <w:t xml:space="preserve"> la demande de la Cour, le 4 août 2015, leurs représentants</w:t>
      </w:r>
      <w:r w:rsidRPr="00874348">
        <w:rPr>
          <w:rFonts w:eastAsia="Times New Roman" w:cs="Calibri"/>
          <w:lang w:val="fr-FR"/>
        </w:rPr>
        <w:t xml:space="preserve"> ont indiqué que cinq d</w:t>
      </w:r>
      <w:r w:rsidR="00874348" w:rsidRPr="00874348">
        <w:rPr>
          <w:rFonts w:eastAsia="Times New Roman" w:cs="Calibri"/>
          <w:lang w:val="fr-FR"/>
        </w:rPr>
        <w:t>’</w:t>
      </w:r>
      <w:r w:rsidRPr="00874348">
        <w:rPr>
          <w:rFonts w:eastAsia="Times New Roman" w:cs="Calibri"/>
          <w:lang w:val="fr-FR"/>
        </w:rPr>
        <w:t>entre eux avaient été payés en 2008 et 2012</w:t>
      </w:r>
      <w:r w:rsidRPr="00874348">
        <w:rPr>
          <w:rFonts w:eastAsia="Times New Roman" w:cs="Calibri"/>
          <w:vertAlign w:val="superscript"/>
          <w:lang w:val="fr-FR"/>
        </w:rPr>
        <w:footnoteReference w:id="2"/>
      </w:r>
      <w:r w:rsidRPr="00874348">
        <w:rPr>
          <w:rFonts w:eastAsia="Times New Roman" w:cs="Calibri"/>
          <w:lang w:val="fr-FR"/>
        </w:rPr>
        <w:t>.</w:t>
      </w:r>
    </w:p>
    <w:p w:rsidR="00506071" w:rsidRPr="00874348" w:rsidRDefault="00506071" w:rsidP="00874348">
      <w:pPr>
        <w:pStyle w:val="ECHRPara"/>
        <w:rPr>
          <w:rFonts w:eastAsia="Times New Roman" w:cs="Calibri"/>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19</w:t>
      </w:r>
      <w:r w:rsidRPr="00874348">
        <w:rPr>
          <w:rFonts w:eastAsia="Times New Roman" w:cs="Calibri"/>
          <w:lang w:val="fr-FR"/>
        </w:rPr>
        <w:fldChar w:fldCharType="end"/>
      </w:r>
      <w:r w:rsidRPr="00874348">
        <w:rPr>
          <w:rFonts w:eastAsia="Times New Roman" w:cs="Calibri"/>
          <w:lang w:val="fr-FR"/>
        </w:rPr>
        <w:t>.  Les sept autres requérants</w:t>
      </w:r>
      <w:r w:rsidRPr="00874348">
        <w:rPr>
          <w:rFonts w:eastAsia="Times New Roman" w:cs="Calibri"/>
          <w:vertAlign w:val="superscript"/>
          <w:lang w:val="fr-FR"/>
        </w:rPr>
        <w:footnoteReference w:id="3"/>
      </w:r>
      <w:r w:rsidRPr="00874348">
        <w:rPr>
          <w:rFonts w:eastAsia="Times New Roman" w:cs="Calibri"/>
          <w:lang w:val="fr-FR"/>
        </w:rPr>
        <w:t xml:space="preserve"> n</w:t>
      </w:r>
      <w:r w:rsidR="00874348" w:rsidRPr="00874348">
        <w:rPr>
          <w:rFonts w:eastAsia="Times New Roman" w:cs="Calibri"/>
          <w:lang w:val="fr-FR"/>
        </w:rPr>
        <w:t>’</w:t>
      </w:r>
      <w:r w:rsidRPr="00874348">
        <w:rPr>
          <w:rFonts w:eastAsia="Times New Roman" w:cs="Calibri"/>
          <w:lang w:val="fr-FR"/>
        </w:rPr>
        <w:t>ont pas encore été dédommagés.</w:t>
      </w:r>
    </w:p>
    <w:p w:rsidR="00506071" w:rsidRPr="00874348" w:rsidRDefault="00506071" w:rsidP="00874348">
      <w:pPr>
        <w:pStyle w:val="ECHRPara"/>
        <w:rPr>
          <w:rFonts w:eastAsia="Times New Roman" w:cs="Calibri"/>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20</w:t>
      </w:r>
      <w:r w:rsidRPr="00874348">
        <w:rPr>
          <w:rFonts w:eastAsia="Times New Roman" w:cs="Calibri"/>
          <w:lang w:val="fr-FR"/>
        </w:rPr>
        <w:fldChar w:fldCharType="end"/>
      </w:r>
      <w:r w:rsidRPr="00874348">
        <w:rPr>
          <w:rFonts w:eastAsia="Times New Roman" w:cs="Calibri"/>
          <w:lang w:val="fr-FR"/>
        </w:rPr>
        <w:t>.  Dans le cadre de la procédure « </w:t>
      </w:r>
      <w:r w:rsidRPr="00874348">
        <w:rPr>
          <w:rFonts w:eastAsia="Times New Roman" w:cs="Calibri"/>
          <w:i/>
          <w:lang w:val="fr-FR"/>
        </w:rPr>
        <w:t>Emo-ter</w:t>
      </w:r>
      <w:r w:rsidRPr="00874348">
        <w:rPr>
          <w:rFonts w:eastAsia="Times New Roman" w:cs="Calibri"/>
          <w:lang w:val="fr-FR"/>
        </w:rPr>
        <w:t> », ces derniers ont été destinataires d</w:t>
      </w:r>
      <w:r w:rsidR="00874348" w:rsidRPr="00874348">
        <w:rPr>
          <w:rFonts w:eastAsia="Times New Roman" w:cs="Calibri"/>
          <w:lang w:val="fr-FR"/>
        </w:rPr>
        <w:t>’</w:t>
      </w:r>
      <w:r w:rsidRPr="00874348">
        <w:rPr>
          <w:rFonts w:eastAsia="Times New Roman" w:cs="Calibri"/>
          <w:lang w:val="fr-FR"/>
        </w:rPr>
        <w:t>un jugement favorable prononcé en première instance par le tribunal civil de Rome le 29 août 2005, condamnant le ministère de la Santé à leur dédommagement.</w:t>
      </w:r>
    </w:p>
    <w:p w:rsidR="00506071" w:rsidRPr="00874348" w:rsidRDefault="00506071" w:rsidP="00874348">
      <w:pPr>
        <w:pStyle w:val="ECHRPara"/>
        <w:rPr>
          <w:rFonts w:eastAsia="Times New Roman" w:cs="Calibri"/>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21</w:t>
      </w:r>
      <w:r w:rsidRPr="00874348">
        <w:rPr>
          <w:rFonts w:eastAsia="Times New Roman" w:cs="Calibri"/>
          <w:lang w:val="fr-FR"/>
        </w:rPr>
        <w:fldChar w:fldCharType="end"/>
      </w:r>
      <w:r w:rsidRPr="00874348">
        <w:rPr>
          <w:rFonts w:eastAsia="Times New Roman" w:cs="Calibri"/>
          <w:lang w:val="fr-FR"/>
        </w:rPr>
        <w:t xml:space="preserve">.  Ce jugement, attaqué par le ministère de la Santé le 8 mars 2006, </w:t>
      </w:r>
      <w:r w:rsidR="006430C8" w:rsidRPr="00874348">
        <w:rPr>
          <w:rFonts w:eastAsia="Times New Roman" w:cs="Calibri"/>
          <w:lang w:val="fr-FR"/>
        </w:rPr>
        <w:t>a</w:t>
      </w:r>
      <w:r w:rsidRPr="00874348">
        <w:rPr>
          <w:rFonts w:eastAsia="Times New Roman" w:cs="Calibri"/>
          <w:lang w:val="fr-FR"/>
        </w:rPr>
        <w:t xml:space="preserve"> caractère provisoirement exécutoire, au sens de l</w:t>
      </w:r>
      <w:r w:rsidR="00874348" w:rsidRPr="00874348">
        <w:rPr>
          <w:rFonts w:eastAsia="Times New Roman" w:cs="Calibri"/>
          <w:lang w:val="fr-FR"/>
        </w:rPr>
        <w:t>’</w:t>
      </w:r>
      <w:r w:rsidRPr="00874348">
        <w:rPr>
          <w:rFonts w:eastAsia="Times New Roman" w:cs="Calibri"/>
          <w:lang w:val="fr-FR"/>
        </w:rPr>
        <w:t>article 282 du code de procédure civile (voir la partie « Droit interne pertinent », point F). La procédure en appel est à ce jour pendante.</w:t>
      </w:r>
    </w:p>
    <w:p w:rsidR="00506071" w:rsidRPr="00874348" w:rsidRDefault="00506071" w:rsidP="00874348">
      <w:pPr>
        <w:pStyle w:val="ECHRPara"/>
        <w:rPr>
          <w:rFonts w:eastAsia="Times New Roman" w:cs="Calibri"/>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22</w:t>
      </w:r>
      <w:r w:rsidRPr="00874348">
        <w:rPr>
          <w:rFonts w:eastAsia="Times New Roman" w:cs="Calibri"/>
          <w:lang w:val="fr-FR"/>
        </w:rPr>
        <w:fldChar w:fldCharType="end"/>
      </w:r>
      <w:r w:rsidRPr="00874348">
        <w:rPr>
          <w:rFonts w:eastAsia="Times New Roman" w:cs="Calibri"/>
          <w:lang w:val="fr-FR"/>
        </w:rPr>
        <w:t>.  Entre-temps, au cours du mois d</w:t>
      </w:r>
      <w:r w:rsidR="00874348" w:rsidRPr="00874348">
        <w:rPr>
          <w:rFonts w:eastAsia="Times New Roman" w:cs="Calibri"/>
          <w:lang w:val="fr-FR"/>
        </w:rPr>
        <w:t>’</w:t>
      </w:r>
      <w:r w:rsidRPr="00874348">
        <w:rPr>
          <w:rFonts w:eastAsia="Times New Roman" w:cs="Calibri"/>
          <w:lang w:val="fr-FR"/>
        </w:rPr>
        <w:t xml:space="preserve">octobre 2006, les sept requérants concernés demandèrent au juge civil de quantifier le préjudice subi. Les </w:t>
      </w:r>
      <w:r w:rsidRPr="00874348">
        <w:rPr>
          <w:rFonts w:eastAsia="Times New Roman" w:cs="Calibri"/>
          <w:lang w:val="fr-FR"/>
        </w:rPr>
        <w:lastRenderedPageBreak/>
        <w:t>jugements internes y relatifs ont été prononcés entre septembre et octobre 2009 (voir la liste B en annexe). Aucun recours en appel n</w:t>
      </w:r>
      <w:r w:rsidR="00874348" w:rsidRPr="00874348">
        <w:rPr>
          <w:rFonts w:eastAsia="Times New Roman" w:cs="Calibri"/>
          <w:lang w:val="fr-FR"/>
        </w:rPr>
        <w:t>’</w:t>
      </w:r>
      <w:r w:rsidRPr="00874348">
        <w:rPr>
          <w:rFonts w:eastAsia="Times New Roman" w:cs="Calibri"/>
          <w:lang w:val="fr-FR"/>
        </w:rPr>
        <w:t>ayant été introduit, ces jugements sont devenus définitifs.</w:t>
      </w:r>
    </w:p>
    <w:p w:rsidR="00506071" w:rsidRPr="00874348" w:rsidRDefault="00506071" w:rsidP="00874348">
      <w:pPr>
        <w:pStyle w:val="ECHRHeading2"/>
        <w:rPr>
          <w:rFonts w:eastAsia="Times New Roman"/>
          <w:lang w:val="fr-FR"/>
        </w:rPr>
      </w:pPr>
      <w:r w:rsidRPr="00874348">
        <w:rPr>
          <w:rFonts w:eastAsia="Times New Roman"/>
          <w:lang w:val="fr-FR"/>
        </w:rPr>
        <w:t>D.  Les demandes d</w:t>
      </w:r>
      <w:r w:rsidR="00874348" w:rsidRPr="00874348">
        <w:rPr>
          <w:rFonts w:eastAsia="Times New Roman"/>
          <w:lang w:val="fr-FR"/>
        </w:rPr>
        <w:t>’</w:t>
      </w:r>
      <w:r w:rsidRPr="00874348">
        <w:rPr>
          <w:rFonts w:eastAsia="Times New Roman"/>
          <w:lang w:val="fr-FR"/>
        </w:rPr>
        <w:t>adhésion à la procédure de règlement amiable et le rejet de certaines d</w:t>
      </w:r>
      <w:r w:rsidR="00874348" w:rsidRPr="00874348">
        <w:rPr>
          <w:rFonts w:eastAsia="Times New Roman"/>
          <w:lang w:val="fr-FR"/>
        </w:rPr>
        <w:t>’</w:t>
      </w:r>
      <w:r w:rsidRPr="00874348">
        <w:rPr>
          <w:rFonts w:eastAsia="Times New Roman"/>
          <w:lang w:val="fr-FR"/>
        </w:rPr>
        <w:t>entre-elles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23</w:t>
      </w:r>
      <w:r w:rsidRPr="00874348">
        <w:rPr>
          <w:rFonts w:eastAsia="Times New Roman"/>
          <w:lang w:val="fr-FR"/>
        </w:rPr>
        <w:fldChar w:fldCharType="end"/>
      </w:r>
      <w:r w:rsidRPr="00874348">
        <w:rPr>
          <w:rFonts w:eastAsia="Times New Roman"/>
          <w:lang w:val="fr-FR"/>
        </w:rPr>
        <w:t xml:space="preserve">.  À différentes dates </w:t>
      </w:r>
      <w:r w:rsidRPr="00874348">
        <w:rPr>
          <w:rFonts w:eastAsia="Times New Roman" w:cs="Times New Roman"/>
          <w:lang w:val="fr-FR"/>
        </w:rPr>
        <w:t>indiquées dans la liste B en annexe</w:t>
      </w:r>
      <w:r w:rsidRPr="00874348">
        <w:rPr>
          <w:rFonts w:eastAsia="Times New Roman"/>
          <w:lang w:val="fr-FR"/>
        </w:rPr>
        <w:t xml:space="preserve">, tous les requérants ou leurs </w:t>
      </w:r>
      <w:r w:rsidRPr="00874348">
        <w:rPr>
          <w:rFonts w:eastAsia="Times New Roman"/>
          <w:i/>
          <w:lang w:val="fr-FR"/>
        </w:rPr>
        <w:t>de cujus</w:t>
      </w:r>
      <w:r w:rsidRPr="00874348">
        <w:rPr>
          <w:rFonts w:eastAsia="Times New Roman"/>
          <w:lang w:val="fr-FR"/>
        </w:rPr>
        <w:t xml:space="preserve"> introduisirent des demandes afin de parvenir aux règlements à l</w:t>
      </w:r>
      <w:r w:rsidR="00874348" w:rsidRPr="00874348">
        <w:rPr>
          <w:rFonts w:eastAsia="Times New Roman"/>
          <w:lang w:val="fr-FR"/>
        </w:rPr>
        <w:t>’</w:t>
      </w:r>
      <w:r w:rsidRPr="00874348">
        <w:rPr>
          <w:rFonts w:eastAsia="Times New Roman"/>
          <w:lang w:val="fr-FR"/>
        </w:rPr>
        <w:t xml:space="preserve">amiable des affaires civiles, au sens des </w:t>
      </w:r>
      <w:r w:rsidRPr="00874348">
        <w:rPr>
          <w:rFonts w:eastAsia="Times New Roman" w:cs="Times New Roman"/>
          <w:lang w:val="fr-FR"/>
        </w:rPr>
        <w:t>lois n</w:t>
      </w:r>
      <w:r w:rsidRPr="00874348">
        <w:rPr>
          <w:rFonts w:eastAsia="Times New Roman" w:cs="Times New Roman"/>
          <w:vertAlign w:val="superscript"/>
          <w:lang w:val="fr-FR"/>
        </w:rPr>
        <w:t>os </w:t>
      </w:r>
      <w:r w:rsidRPr="00874348">
        <w:rPr>
          <w:rFonts w:eastAsia="Times New Roman" w:cs="Times New Roman"/>
          <w:lang w:val="fr-FR"/>
        </w:rPr>
        <w:t>222/2007 et 244/2007 (paragraphes 33-34 ci-dessous)</w:t>
      </w:r>
      <w:r w:rsidRPr="00874348">
        <w:rPr>
          <w:rFonts w:eastAsia="Times New Roman"/>
          <w:lang w:val="fr-FR"/>
        </w:rPr>
        <w: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24</w:t>
      </w:r>
      <w:r w:rsidRPr="00874348">
        <w:rPr>
          <w:rFonts w:eastAsia="Times New Roman"/>
          <w:lang w:val="fr-FR"/>
        </w:rPr>
        <w:fldChar w:fldCharType="end"/>
      </w:r>
      <w:r w:rsidRPr="00874348">
        <w:rPr>
          <w:rFonts w:eastAsia="Times New Roman"/>
          <w:lang w:val="fr-FR"/>
        </w:rPr>
        <w:t>.  Ces demandes furent déposées au plus tard le 19 janvier 2010, tel que prévu par la circulaire n</w:t>
      </w:r>
      <w:r w:rsidRPr="00874348">
        <w:rPr>
          <w:rFonts w:eastAsia="Times New Roman"/>
          <w:vertAlign w:val="superscript"/>
          <w:lang w:val="fr-FR"/>
        </w:rPr>
        <w:t>o</w:t>
      </w:r>
      <w:r w:rsidRPr="00874348">
        <w:rPr>
          <w:rFonts w:eastAsia="Times New Roman"/>
          <w:lang w:val="fr-FR"/>
        </w:rPr>
        <w:t xml:space="preserve"> 28 du 20 octobre 2009 </w:t>
      </w:r>
      <w:r w:rsidRPr="00874348">
        <w:rPr>
          <w:rFonts w:eastAsia="Times New Roman" w:cs="Times New Roman"/>
          <w:lang w:val="fr-FR"/>
        </w:rPr>
        <w:t>(paragraphe 38 ci-dessous)</w:t>
      </w:r>
      <w:r w:rsidRPr="00874348">
        <w:rPr>
          <w:rFonts w:eastAsia="Times New Roman"/>
          <w:lang w:val="fr-FR"/>
        </w:rPr>
        <w: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25</w:t>
      </w:r>
      <w:r w:rsidRPr="00874348">
        <w:rPr>
          <w:rFonts w:eastAsia="Times New Roman"/>
          <w:lang w:val="fr-FR"/>
        </w:rPr>
        <w:fldChar w:fldCharType="end"/>
      </w:r>
      <w:r w:rsidRPr="00874348">
        <w:rPr>
          <w:rFonts w:eastAsia="Times New Roman"/>
          <w:lang w:val="fr-FR"/>
        </w:rPr>
        <w:t xml:space="preserve">.  Elles furent par la suite en partie rejetées sur la base des critères </w:t>
      </w:r>
      <w:r w:rsidRPr="00874348">
        <w:rPr>
          <w:rFonts w:eastAsia="Times New Roman" w:cs="Times New Roman"/>
          <w:lang w:val="fr-FR"/>
        </w:rPr>
        <w:t>réglementant l</w:t>
      </w:r>
      <w:r w:rsidR="00874348" w:rsidRPr="00874348">
        <w:rPr>
          <w:rFonts w:eastAsia="Times New Roman" w:cs="Times New Roman"/>
          <w:lang w:val="fr-FR"/>
        </w:rPr>
        <w:t>’</w:t>
      </w:r>
      <w:r w:rsidRPr="00874348">
        <w:rPr>
          <w:rFonts w:eastAsia="Times New Roman" w:cs="Times New Roman"/>
          <w:lang w:val="fr-FR"/>
        </w:rPr>
        <w:t>accès aux transactions en cause</w:t>
      </w:r>
      <w:r w:rsidRPr="00874348">
        <w:rPr>
          <w:rFonts w:eastAsia="Times New Roman"/>
          <w:lang w:val="fr-FR"/>
        </w:rPr>
        <w:t xml:space="preserve"> établis par le décret </w:t>
      </w:r>
      <w:r w:rsidRPr="00874348">
        <w:rPr>
          <w:rFonts w:eastAsia="Times New Roman" w:cs="Times New Roman"/>
          <w:lang w:val="fr-FR"/>
        </w:rPr>
        <w:t>n</w:t>
      </w:r>
      <w:r w:rsidRPr="00874348">
        <w:rPr>
          <w:rFonts w:eastAsia="Times New Roman" w:cs="Times New Roman"/>
          <w:vertAlign w:val="superscript"/>
          <w:lang w:val="fr-FR"/>
        </w:rPr>
        <w:t>o</w:t>
      </w:r>
      <w:r w:rsidRPr="00874348">
        <w:rPr>
          <w:rFonts w:eastAsia="Times New Roman" w:cs="Times New Roman"/>
          <w:lang w:val="fr-FR"/>
        </w:rPr>
        <w:t xml:space="preserve"> 162 du 4 mai 2012 (ci-après « décret n</w:t>
      </w:r>
      <w:r w:rsidRPr="00874348">
        <w:rPr>
          <w:rFonts w:eastAsia="Times New Roman" w:cs="Times New Roman"/>
          <w:vertAlign w:val="superscript"/>
          <w:lang w:val="fr-FR"/>
        </w:rPr>
        <w:t>o </w:t>
      </w:r>
      <w:r w:rsidRPr="00874348">
        <w:rPr>
          <w:rFonts w:eastAsia="Times New Roman" w:cs="Times New Roman"/>
          <w:lang w:val="fr-FR"/>
        </w:rPr>
        <w:t>162/12 ») publié au Journal officiel le 13 juillet 2012 (paragraphes 39-42 ci-dessous)</w:t>
      </w:r>
      <w:r w:rsidRPr="00874348">
        <w:rPr>
          <w:rFonts w:eastAsia="Times New Roman"/>
          <w:lang w:val="fr-FR"/>
        </w:rPr>
        <w:t>.</w:t>
      </w:r>
    </w:p>
    <w:p w:rsidR="00506071" w:rsidRPr="00874348" w:rsidRDefault="00506071" w:rsidP="00874348">
      <w:pPr>
        <w:pStyle w:val="ECHRPara"/>
        <w:rPr>
          <w:rFonts w:eastAsia="Times New Roman" w:cs="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26</w:t>
      </w:r>
      <w:r w:rsidRPr="00874348">
        <w:rPr>
          <w:rFonts w:eastAsia="Times New Roman"/>
          <w:lang w:val="fr-FR"/>
        </w:rPr>
        <w:fldChar w:fldCharType="end"/>
      </w:r>
      <w:r w:rsidRPr="00874348">
        <w:rPr>
          <w:rFonts w:eastAsia="Times New Roman"/>
          <w:lang w:val="fr-FR"/>
        </w:rPr>
        <w:t xml:space="preserve">.  Certains requérants ont </w:t>
      </w:r>
      <w:r w:rsidRPr="00874348">
        <w:rPr>
          <w:rFonts w:eastAsia="Times New Roman"/>
          <w:i/>
          <w:lang w:val="fr-FR"/>
        </w:rPr>
        <w:t>de facto</w:t>
      </w:r>
      <w:r w:rsidRPr="00874348">
        <w:rPr>
          <w:rFonts w:eastAsia="Times New Roman"/>
          <w:lang w:val="fr-FR"/>
        </w:rPr>
        <w:t xml:space="preserve"> été exclus des transactions en application des mêmes critères.</w:t>
      </w:r>
      <w:r w:rsidRPr="00874348">
        <w:rPr>
          <w:rFonts w:eastAsia="Times New Roman" w:cs="Times New Roman"/>
          <w:lang w:val="fr-FR"/>
        </w:rPr>
        <w:t xml:space="preserve"> D</w:t>
      </w:r>
      <w:r w:rsidR="00874348" w:rsidRPr="00874348">
        <w:rPr>
          <w:rFonts w:eastAsia="Times New Roman" w:cs="Times New Roman"/>
          <w:lang w:val="fr-FR"/>
        </w:rPr>
        <w:t>’</w:t>
      </w:r>
      <w:r w:rsidRPr="00874348">
        <w:rPr>
          <w:rFonts w:eastAsia="Times New Roman" w:cs="Times New Roman"/>
          <w:lang w:val="fr-FR"/>
        </w:rPr>
        <w:t>autres demandes ont été déclarées recevables en vue de la transaction. Selon les informations fournies par les parties, certains dossiers sont introuvables et d</w:t>
      </w:r>
      <w:r w:rsidR="00874348" w:rsidRPr="00874348">
        <w:rPr>
          <w:rFonts w:eastAsia="Times New Roman" w:cs="Times New Roman"/>
          <w:lang w:val="fr-FR"/>
        </w:rPr>
        <w:t>’</w:t>
      </w:r>
      <w:r w:rsidRPr="00874348">
        <w:rPr>
          <w:rFonts w:eastAsia="Times New Roman" w:cs="Times New Roman"/>
          <w:lang w:val="fr-FR"/>
        </w:rPr>
        <w:t>autres demandes sont pendantes.</w:t>
      </w:r>
    </w:p>
    <w:p w:rsidR="00506071" w:rsidRPr="00874348" w:rsidRDefault="00506071" w:rsidP="00874348">
      <w:pPr>
        <w:pStyle w:val="ECHRPara"/>
        <w:rPr>
          <w:rFonts w:eastAsia="Times New Roman" w:cs="Times New Roman"/>
          <w:lang w:val="fr-FR"/>
        </w:rPr>
      </w:pPr>
      <w:r w:rsidRPr="00874348">
        <w:rPr>
          <w:rFonts w:eastAsia="Times New Roman" w:cs="Times New Roman"/>
          <w:lang w:val="fr-FR"/>
        </w:rPr>
        <w:fldChar w:fldCharType="begin"/>
      </w:r>
      <w:r w:rsidRPr="00874348">
        <w:rPr>
          <w:rFonts w:eastAsia="Times New Roman" w:cs="Times New Roman"/>
          <w:lang w:val="fr-FR"/>
        </w:rPr>
        <w:instrText xml:space="preserve"> SEQ level0 \*arabic </w:instrText>
      </w:r>
      <w:r w:rsidRPr="00874348">
        <w:rPr>
          <w:rFonts w:eastAsia="Times New Roman" w:cs="Times New Roman"/>
          <w:lang w:val="fr-FR"/>
        </w:rPr>
        <w:fldChar w:fldCharType="separate"/>
      </w:r>
      <w:r w:rsidR="00874348" w:rsidRPr="00874348">
        <w:rPr>
          <w:rFonts w:eastAsia="Times New Roman" w:cs="Times New Roman"/>
          <w:noProof/>
          <w:lang w:val="fr-FR"/>
        </w:rPr>
        <w:t>27</w:t>
      </w:r>
      <w:r w:rsidRPr="00874348">
        <w:rPr>
          <w:rFonts w:eastAsia="Times New Roman" w:cs="Times New Roman"/>
          <w:lang w:val="fr-FR"/>
        </w:rPr>
        <w:fldChar w:fldCharType="end"/>
      </w:r>
      <w:r w:rsidRPr="00874348">
        <w:rPr>
          <w:rFonts w:eastAsia="Times New Roman" w:cs="Times New Roman"/>
          <w:lang w:val="fr-FR"/>
        </w:rPr>
        <w:t>.  En tout état de cause, aucune demande d</w:t>
      </w:r>
      <w:r w:rsidR="00874348" w:rsidRPr="00874348">
        <w:rPr>
          <w:rFonts w:eastAsia="Times New Roman" w:cs="Times New Roman"/>
          <w:lang w:val="fr-FR"/>
        </w:rPr>
        <w:t>’</w:t>
      </w:r>
      <w:r w:rsidRPr="00874348">
        <w:rPr>
          <w:rFonts w:eastAsia="Times New Roman" w:cs="Times New Roman"/>
          <w:lang w:val="fr-FR"/>
        </w:rPr>
        <w:t>adhésion n</w:t>
      </w:r>
      <w:r w:rsidR="00874348" w:rsidRPr="00874348">
        <w:rPr>
          <w:rFonts w:eastAsia="Times New Roman" w:cs="Times New Roman"/>
          <w:lang w:val="fr-FR"/>
        </w:rPr>
        <w:t>’</w:t>
      </w:r>
      <w:r w:rsidRPr="00874348">
        <w:rPr>
          <w:rFonts w:eastAsia="Times New Roman" w:cs="Times New Roman"/>
          <w:lang w:val="fr-FR"/>
        </w:rPr>
        <w:t>a abouti. Les détails concernant l</w:t>
      </w:r>
      <w:r w:rsidR="00874348" w:rsidRPr="00874348">
        <w:rPr>
          <w:rFonts w:eastAsia="Times New Roman" w:cs="Times New Roman"/>
          <w:lang w:val="fr-FR"/>
        </w:rPr>
        <w:t>’</w:t>
      </w:r>
      <w:r w:rsidRPr="00874348">
        <w:rPr>
          <w:rFonts w:eastAsia="Times New Roman" w:cs="Times New Roman"/>
          <w:lang w:val="fr-FR"/>
        </w:rPr>
        <w:t>issue des demandes d</w:t>
      </w:r>
      <w:r w:rsidR="00874348" w:rsidRPr="00874348">
        <w:rPr>
          <w:rFonts w:eastAsia="Times New Roman" w:cs="Times New Roman"/>
          <w:lang w:val="fr-FR"/>
        </w:rPr>
        <w:t>’</w:t>
      </w:r>
      <w:r w:rsidRPr="00874348">
        <w:rPr>
          <w:rFonts w:eastAsia="Times New Roman" w:cs="Times New Roman"/>
          <w:lang w:val="fr-FR"/>
        </w:rPr>
        <w:t>adhésion sont indiqués dans la liste B en annexe.</w:t>
      </w:r>
    </w:p>
    <w:p w:rsidR="00506071" w:rsidRPr="00874348" w:rsidRDefault="00506071" w:rsidP="00874348">
      <w:pPr>
        <w:pStyle w:val="ECHRHeading2"/>
        <w:rPr>
          <w:rFonts w:eastAsia="Times New Roman"/>
          <w:lang w:val="fr-FR"/>
        </w:rPr>
      </w:pPr>
      <w:r w:rsidRPr="00874348">
        <w:rPr>
          <w:rFonts w:eastAsia="Times New Roman"/>
          <w:lang w:val="fr-FR"/>
        </w:rPr>
        <w:t>E.  Le remède compensatoire prévu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w:t>
      </w:r>
    </w:p>
    <w:p w:rsidR="00506071" w:rsidRPr="00874348" w:rsidRDefault="00506071" w:rsidP="00874348">
      <w:pPr>
        <w:pStyle w:val="ECHRPara"/>
        <w:rPr>
          <w:rFonts w:eastAsia="Times New Roman" w:cs="Calibri"/>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28</w:t>
      </w:r>
      <w:r w:rsidRPr="00874348">
        <w:rPr>
          <w:rFonts w:eastAsia="Times New Roman" w:cs="Calibri"/>
          <w:lang w:val="fr-FR"/>
        </w:rPr>
        <w:fldChar w:fldCharType="end"/>
      </w:r>
      <w:r w:rsidRPr="00874348">
        <w:rPr>
          <w:rFonts w:eastAsia="Times New Roman" w:cs="Calibri"/>
          <w:lang w:val="fr-FR"/>
        </w:rPr>
        <w:t>.  </w:t>
      </w:r>
      <w:r w:rsidRPr="00874348">
        <w:rPr>
          <w:rFonts w:eastAsia="Times New Roman"/>
          <w:bCs/>
          <w:lang w:val="fr-FR"/>
        </w:rPr>
        <w:t xml:space="preserve">Le </w:t>
      </w:r>
      <w:r w:rsidRPr="00874348">
        <w:rPr>
          <w:rFonts w:eastAsia="Times New Roman"/>
          <w:lang w:val="fr-FR"/>
        </w:rPr>
        <w:t>décret-loi n</w:t>
      </w:r>
      <w:r w:rsidRPr="00874348">
        <w:rPr>
          <w:rFonts w:eastAsia="Times New Roman"/>
          <w:vertAlign w:val="superscript"/>
          <w:lang w:val="fr-FR"/>
        </w:rPr>
        <w:t>o</w:t>
      </w:r>
      <w:r w:rsidRPr="00874348">
        <w:rPr>
          <w:rFonts w:eastAsia="Times New Roman"/>
          <w:lang w:val="fr-FR"/>
        </w:rPr>
        <w:t xml:space="preserve"> 90 du 24 juin 2014 a ouvert la possibilité à toute personne ayant introduit une demande d</w:t>
      </w:r>
      <w:r w:rsidR="00874348" w:rsidRPr="00874348">
        <w:rPr>
          <w:rFonts w:eastAsia="Times New Roman"/>
          <w:lang w:val="fr-FR"/>
        </w:rPr>
        <w:t>’</w:t>
      </w:r>
      <w:r w:rsidRPr="00874348">
        <w:rPr>
          <w:rFonts w:eastAsia="Times New Roman"/>
          <w:lang w:val="fr-FR"/>
        </w:rPr>
        <w:t>adhésion aux règlements amiables mentionnée ci-dessus au plus tard le 19 janvier 2010 de recevoir, à titre de satisfaction équitable, un montant de 100 000 EUR (</w:t>
      </w:r>
      <w:r w:rsidRPr="00874348">
        <w:rPr>
          <w:rFonts w:eastAsia="Times New Roman" w:cs="Calibri"/>
          <w:lang w:val="fr-FR"/>
        </w:rPr>
        <w:t>article 27-</w:t>
      </w:r>
      <w:r w:rsidRPr="00874348">
        <w:rPr>
          <w:rFonts w:eastAsia="Times New Roman" w:cs="Calibri"/>
          <w:i/>
          <w:lang w:val="fr-FR"/>
        </w:rPr>
        <w:t>bis</w:t>
      </w:r>
      <w:r w:rsidRPr="00874348">
        <w:rPr>
          <w:rFonts w:eastAsia="Times New Roman" w:cs="Calibri"/>
          <w:lang w:val="fr-FR"/>
        </w:rPr>
        <w:t xml:space="preserve"> dudit décret-loi</w:t>
      </w:r>
      <w:r w:rsidRPr="00874348">
        <w:rPr>
          <w:rFonts w:eastAsia="Times New Roman"/>
          <w:lang w:val="fr-FR"/>
        </w:rPr>
        <w:t xml:space="preserve">, </w:t>
      </w:r>
      <w:r w:rsidRPr="00874348">
        <w:rPr>
          <w:rFonts w:eastAsia="Times New Roman" w:cs="Calibri"/>
          <w:lang w:val="fr-FR"/>
        </w:rPr>
        <w:t>paragraphe 43 ci-dessous). Ainsi, quarante-cinq requérants</w:t>
      </w:r>
      <w:r w:rsidRPr="00874348">
        <w:rPr>
          <w:rFonts w:eastAsia="Times New Roman" w:cs="Calibri"/>
          <w:vertAlign w:val="superscript"/>
          <w:lang w:val="fr-FR"/>
        </w:rPr>
        <w:footnoteReference w:id="4"/>
      </w:r>
      <w:r w:rsidRPr="00874348">
        <w:rPr>
          <w:rFonts w:eastAsia="Times New Roman" w:cs="Calibri"/>
          <w:lang w:val="fr-FR"/>
        </w:rPr>
        <w:t xml:space="preserve"> ont communiqué à la Cour avoir introduit des demandes en vue de se prévaloir de ce nouveau remède</w:t>
      </w:r>
      <w:r w:rsidRPr="00874348">
        <w:rPr>
          <w:rFonts w:eastAsia="Times New Roman"/>
          <w:lang w:val="fr-FR"/>
        </w:rPr>
        <w:t xml:space="preserve"> et de clôturer les procédures en dédommagement </w:t>
      </w:r>
      <w:r w:rsidRPr="00874348">
        <w:rPr>
          <w:rFonts w:eastAsia="Times New Roman"/>
          <w:lang w:val="fr-FR"/>
        </w:rPr>
        <w:lastRenderedPageBreak/>
        <w:t xml:space="preserve">introduites par eux-mêmes ou par leur </w:t>
      </w:r>
      <w:r w:rsidRPr="00874348">
        <w:rPr>
          <w:rFonts w:eastAsia="Times New Roman"/>
          <w:i/>
          <w:lang w:val="fr-FR"/>
        </w:rPr>
        <w:t>de cujus</w:t>
      </w:r>
      <w:r w:rsidRPr="00874348">
        <w:rPr>
          <w:rFonts w:eastAsia="Times New Roman" w:cs="Calibri"/>
          <w:lang w:val="fr-FR"/>
        </w:rPr>
        <w:t>. Plusieurs d</w:t>
      </w:r>
      <w:r w:rsidR="00874348" w:rsidRPr="00874348">
        <w:rPr>
          <w:rFonts w:eastAsia="Times New Roman" w:cs="Calibri"/>
          <w:lang w:val="fr-FR"/>
        </w:rPr>
        <w:t>’</w:t>
      </w:r>
      <w:r w:rsidRPr="00874348">
        <w:rPr>
          <w:rFonts w:eastAsia="Times New Roman" w:cs="Calibri"/>
          <w:lang w:val="fr-FR"/>
        </w:rPr>
        <w:t>entre eux ont déjà reçu cette somme</w:t>
      </w:r>
      <w:r w:rsidRPr="00874348">
        <w:rPr>
          <w:rStyle w:val="Rimandonotaapidipagina"/>
          <w:rFonts w:eastAsia="Times New Roman" w:cs="Calibri"/>
          <w:lang w:val="fr-FR"/>
        </w:rPr>
        <w:footnoteReference w:id="5"/>
      </w:r>
      <w:r w:rsidRPr="00874348">
        <w:rPr>
          <w:rFonts w:eastAsia="Times New Roman" w:cs="Calibri"/>
          <w:lang w:val="fr-FR"/>
        </w:rPr>
        <w:t>.</w:t>
      </w:r>
    </w:p>
    <w:p w:rsidR="00506071" w:rsidRPr="00874348" w:rsidRDefault="00506071" w:rsidP="00874348">
      <w:pPr>
        <w:pStyle w:val="ECHRHeading1"/>
        <w:rPr>
          <w:rFonts w:eastAsia="Times New Roman"/>
          <w:lang w:val="fr-FR"/>
        </w:rPr>
      </w:pPr>
      <w:r w:rsidRPr="00874348">
        <w:rPr>
          <w:rFonts w:eastAsia="Times New Roman"/>
          <w:lang w:val="fr-FR"/>
        </w:rPr>
        <w:t>II.  LE DROIT INTERNE PERTINENT</w:t>
      </w:r>
    </w:p>
    <w:p w:rsidR="00506071" w:rsidRPr="00874348" w:rsidRDefault="00506071" w:rsidP="00874348">
      <w:pPr>
        <w:pStyle w:val="ECHRHeading2"/>
        <w:rPr>
          <w:rFonts w:eastAsia="Times New Roman"/>
          <w:lang w:val="fr-FR"/>
        </w:rPr>
      </w:pPr>
      <w:r w:rsidRPr="00874348">
        <w:rPr>
          <w:rFonts w:eastAsia="Times New Roman"/>
          <w:szCs w:val="24"/>
          <w:lang w:val="fr-FR"/>
        </w:rPr>
        <w:t>A.  </w:t>
      </w:r>
      <w:r w:rsidRPr="00874348">
        <w:rPr>
          <w:rFonts w:eastAsia="Times New Roman"/>
          <w:lang w:val="fr-FR"/>
        </w:rPr>
        <w:t>La loi n</w:t>
      </w:r>
      <w:r w:rsidRPr="00874348">
        <w:rPr>
          <w:rFonts w:eastAsia="Times New Roman"/>
          <w:vertAlign w:val="superscript"/>
          <w:lang w:val="fr-FR"/>
        </w:rPr>
        <w:t>o</w:t>
      </w:r>
      <w:r w:rsidRPr="00874348">
        <w:rPr>
          <w:rFonts w:eastAsia="Times New Roman"/>
          <w:lang w:val="fr-FR"/>
        </w:rPr>
        <w:t xml:space="preserve"> 210 du 25 février 1992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29</w:t>
      </w:r>
      <w:r w:rsidRPr="00874348">
        <w:rPr>
          <w:rFonts w:eastAsia="Times New Roman"/>
          <w:lang w:val="fr-FR"/>
        </w:rPr>
        <w:fldChar w:fldCharType="end"/>
      </w:r>
      <w:r w:rsidRPr="00874348">
        <w:rPr>
          <w:rFonts w:eastAsia="Times New Roman"/>
          <w:lang w:val="fr-FR"/>
        </w:rPr>
        <w:t>.  Cette loi prévoit la possibilité d</w:t>
      </w:r>
      <w:r w:rsidR="00874348" w:rsidRPr="00874348">
        <w:rPr>
          <w:rFonts w:eastAsia="Times New Roman"/>
          <w:lang w:val="fr-FR"/>
        </w:rPr>
        <w:t>’</w:t>
      </w:r>
      <w:r w:rsidRPr="00874348">
        <w:rPr>
          <w:rFonts w:eastAsia="Times New Roman"/>
          <w:lang w:val="fr-FR"/>
        </w:rPr>
        <w:t>introduire un recours administratif devant le ministère de la Santé pour obtenir une indemnité au titre de la contamination consécutive à une transfusion de sang contaminé.</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30</w:t>
      </w:r>
      <w:r w:rsidRPr="00874348">
        <w:rPr>
          <w:rFonts w:eastAsia="Times New Roman"/>
          <w:lang w:val="fr-FR"/>
        </w:rPr>
        <w:fldChar w:fldCharType="end"/>
      </w:r>
      <w:r w:rsidRPr="00874348">
        <w:rPr>
          <w:rFonts w:eastAsia="Times New Roman"/>
          <w:lang w:val="fr-FR"/>
        </w:rPr>
        <w:t>.  À cet effet, une Commission médicale est chargée d</w:t>
      </w:r>
      <w:r w:rsidR="00874348" w:rsidRPr="00874348">
        <w:rPr>
          <w:rFonts w:eastAsia="Times New Roman"/>
          <w:lang w:val="fr-FR"/>
        </w:rPr>
        <w:t>’</w:t>
      </w:r>
      <w:r w:rsidRPr="00874348">
        <w:rPr>
          <w:rFonts w:eastAsia="Times New Roman"/>
          <w:lang w:val="fr-FR"/>
        </w:rPr>
        <w:t>apprécier l</w:t>
      </w:r>
      <w:r w:rsidR="00874348" w:rsidRPr="00874348">
        <w:rPr>
          <w:rFonts w:eastAsia="Times New Roman"/>
          <w:lang w:val="fr-FR"/>
        </w:rPr>
        <w:t>’</w:t>
      </w:r>
      <w:r w:rsidRPr="00874348">
        <w:rPr>
          <w:rFonts w:eastAsia="Times New Roman"/>
          <w:lang w:val="fr-FR"/>
        </w:rPr>
        <w:t>existence du lien de causalité entre, d</w:t>
      </w:r>
      <w:r w:rsidR="00874348" w:rsidRPr="00874348">
        <w:rPr>
          <w:rFonts w:eastAsia="Times New Roman"/>
          <w:lang w:val="fr-FR"/>
        </w:rPr>
        <w:t>’</w:t>
      </w:r>
      <w:r w:rsidRPr="00874348">
        <w:rPr>
          <w:rFonts w:eastAsia="Times New Roman"/>
          <w:lang w:val="fr-FR"/>
        </w:rPr>
        <w:t>une part, la transfusion et, d</w:t>
      </w:r>
      <w:r w:rsidR="00874348" w:rsidRPr="00874348">
        <w:rPr>
          <w:rFonts w:eastAsia="Times New Roman"/>
          <w:lang w:val="fr-FR"/>
        </w:rPr>
        <w:t>’</w:t>
      </w:r>
      <w:r w:rsidRPr="00874348">
        <w:rPr>
          <w:rFonts w:eastAsia="Times New Roman"/>
          <w:lang w:val="fr-FR"/>
        </w:rPr>
        <w:t>autre part, les atteintes à l</w:t>
      </w:r>
      <w:r w:rsidR="00874348" w:rsidRPr="00874348">
        <w:rPr>
          <w:rFonts w:eastAsia="Times New Roman"/>
          <w:lang w:val="fr-FR"/>
        </w:rPr>
        <w:t>’</w:t>
      </w:r>
      <w:r w:rsidRPr="00874348">
        <w:rPr>
          <w:rFonts w:eastAsia="Times New Roman"/>
          <w:lang w:val="fr-FR"/>
        </w:rPr>
        <w:t>intégrité physique et mentale ou le décès de l</w:t>
      </w:r>
      <w:r w:rsidR="00874348" w:rsidRPr="00874348">
        <w:rPr>
          <w:rFonts w:eastAsia="Times New Roman"/>
          <w:lang w:val="fr-FR"/>
        </w:rPr>
        <w:t>’</w:t>
      </w:r>
      <w:r w:rsidRPr="00874348">
        <w:rPr>
          <w:rFonts w:eastAsia="Times New Roman"/>
          <w:lang w:val="fr-FR"/>
        </w:rPr>
        <w:t>intéressé.</w:t>
      </w:r>
    </w:p>
    <w:p w:rsidR="00506071" w:rsidRPr="00874348" w:rsidRDefault="00506071" w:rsidP="00874348">
      <w:pPr>
        <w:pStyle w:val="ECHRHeading2"/>
        <w:rPr>
          <w:rFonts w:eastAsia="Times New Roman"/>
          <w:lang w:val="fr-FR"/>
        </w:rPr>
      </w:pPr>
      <w:r w:rsidRPr="00874348">
        <w:rPr>
          <w:rFonts w:eastAsia="Times New Roman"/>
          <w:lang w:val="fr-FR"/>
        </w:rPr>
        <w:t>B.  Les lois prévoyant le règlement à l</w:t>
      </w:r>
      <w:r w:rsidR="00874348" w:rsidRPr="00874348">
        <w:rPr>
          <w:rFonts w:eastAsia="Times New Roman"/>
          <w:lang w:val="fr-FR"/>
        </w:rPr>
        <w:t>’</w:t>
      </w:r>
      <w:r w:rsidRPr="00874348">
        <w:rPr>
          <w:rFonts w:eastAsia="Times New Roman"/>
          <w:lang w:val="fr-FR"/>
        </w:rPr>
        <w:t>amiable des procédures en indemnisation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31</w:t>
      </w:r>
      <w:r w:rsidRPr="00874348">
        <w:rPr>
          <w:rFonts w:eastAsia="Times New Roman"/>
          <w:lang w:val="fr-FR"/>
        </w:rPr>
        <w:fldChar w:fldCharType="end"/>
      </w:r>
      <w:r w:rsidRPr="00874348">
        <w:rPr>
          <w:rFonts w:eastAsia="Times New Roman"/>
          <w:lang w:val="fr-FR"/>
        </w:rPr>
        <w:t>.  La loi n</w:t>
      </w:r>
      <w:r w:rsidRPr="00874348">
        <w:rPr>
          <w:rFonts w:eastAsia="Times New Roman"/>
          <w:vertAlign w:val="superscript"/>
          <w:lang w:val="fr-FR"/>
        </w:rPr>
        <w:t>o</w:t>
      </w:r>
      <w:r w:rsidRPr="00874348">
        <w:rPr>
          <w:rFonts w:eastAsia="Times New Roman"/>
          <w:lang w:val="fr-FR"/>
        </w:rPr>
        <w:t xml:space="preserve"> 141 du 20 juin 2003 (« loi n</w:t>
      </w:r>
      <w:r w:rsidRPr="00874348">
        <w:rPr>
          <w:rFonts w:eastAsia="Times New Roman"/>
          <w:vertAlign w:val="superscript"/>
          <w:lang w:val="fr-FR"/>
        </w:rPr>
        <w:t>o</w:t>
      </w:r>
      <w:r w:rsidRPr="00874348">
        <w:rPr>
          <w:rFonts w:eastAsia="Times New Roman"/>
          <w:lang w:val="fr-FR"/>
        </w:rPr>
        <w:t xml:space="preserve"> </w:t>
      </w:r>
      <w:hyperlink r:id="rId13" w:anchor="{&quot;appno&quot;:[&quot;141/03&quot;]}" w:tgtFrame="_blank" w:history="1">
        <w:r w:rsidRPr="00874348">
          <w:rPr>
            <w:rFonts w:eastAsia="Times New Roman"/>
            <w:lang w:val="fr-FR"/>
          </w:rPr>
          <w:t>141/03</w:t>
        </w:r>
      </w:hyperlink>
      <w:r w:rsidRPr="00874348">
        <w:rPr>
          <w:rFonts w:eastAsia="Times New Roman"/>
          <w:lang w:val="fr-FR"/>
        </w:rPr>
        <w:t xml:space="preserve"> ») a autorisé une dépense publique de 98 500 000 EUR pour l</w:t>
      </w:r>
      <w:r w:rsidR="00874348" w:rsidRPr="00874348">
        <w:rPr>
          <w:rFonts w:eastAsia="Times New Roman"/>
          <w:lang w:val="fr-FR"/>
        </w:rPr>
        <w:t>’</w:t>
      </w:r>
      <w:r w:rsidRPr="00874348">
        <w:rPr>
          <w:rFonts w:eastAsia="Times New Roman"/>
          <w:lang w:val="fr-FR"/>
        </w:rPr>
        <w:t>année 2003 et de 198 500 000 EUR pour l</w:t>
      </w:r>
      <w:r w:rsidR="00874348" w:rsidRPr="00874348">
        <w:rPr>
          <w:rFonts w:eastAsia="Times New Roman"/>
          <w:lang w:val="fr-FR"/>
        </w:rPr>
        <w:t>’</w:t>
      </w:r>
      <w:r w:rsidRPr="00874348">
        <w:rPr>
          <w:rFonts w:eastAsia="Times New Roman"/>
          <w:lang w:val="fr-FR"/>
        </w:rPr>
        <w:t>année 2004 de même que pour l</w:t>
      </w:r>
      <w:r w:rsidR="00874348" w:rsidRPr="00874348">
        <w:rPr>
          <w:rFonts w:eastAsia="Times New Roman"/>
          <w:lang w:val="fr-FR"/>
        </w:rPr>
        <w:t>’</w:t>
      </w:r>
      <w:r w:rsidRPr="00874348">
        <w:rPr>
          <w:rFonts w:eastAsia="Times New Roman"/>
          <w:lang w:val="fr-FR"/>
        </w:rPr>
        <w:t>année 2005, afin de régler à l</w:t>
      </w:r>
      <w:r w:rsidR="00874348" w:rsidRPr="00874348">
        <w:rPr>
          <w:rFonts w:eastAsia="Times New Roman"/>
          <w:lang w:val="fr-FR"/>
        </w:rPr>
        <w:t>’</w:t>
      </w:r>
      <w:r w:rsidRPr="00874348">
        <w:rPr>
          <w:rFonts w:eastAsia="Times New Roman"/>
          <w:lang w:val="fr-FR"/>
        </w:rPr>
        <w:t>amiable les procédure en dédommagement entamées par les personnes transfusées et contaminées par du sang ou des produits sanguins infectés.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32</w:t>
      </w:r>
      <w:r w:rsidRPr="00874348">
        <w:rPr>
          <w:rFonts w:eastAsia="Times New Roman"/>
          <w:lang w:val="fr-FR"/>
        </w:rPr>
        <w:fldChar w:fldCharType="end"/>
      </w:r>
      <w:r w:rsidRPr="00874348">
        <w:rPr>
          <w:rFonts w:eastAsia="Times New Roman"/>
          <w:lang w:val="fr-FR"/>
        </w:rPr>
        <w:t>.  Par un décret du 3 novembre 2003, le ministère de la Santé a spécifié les critères d</w:t>
      </w:r>
      <w:r w:rsidR="00874348" w:rsidRPr="00874348">
        <w:rPr>
          <w:rFonts w:eastAsia="Times New Roman"/>
          <w:lang w:val="fr-FR"/>
        </w:rPr>
        <w:t>’</w:t>
      </w:r>
      <w:r w:rsidRPr="00874348">
        <w:rPr>
          <w:rFonts w:eastAsia="Times New Roman"/>
          <w:lang w:val="fr-FR"/>
        </w:rPr>
        <w:t>accès à la voie de réparation prévue. Les parties pertinentes de ce décret se lisent ainsi :</w:t>
      </w:r>
    </w:p>
    <w:p w:rsidR="00506071" w:rsidRPr="00874348" w:rsidRDefault="00506071" w:rsidP="00874348">
      <w:pPr>
        <w:pStyle w:val="ECHRTitleCentre3"/>
        <w:rPr>
          <w:rFonts w:eastAsia="Times New Roman"/>
          <w:lang w:val="fr-FR"/>
        </w:rPr>
      </w:pPr>
      <w:r w:rsidRPr="00874348">
        <w:rPr>
          <w:rFonts w:eastAsia="Times New Roman"/>
          <w:lang w:val="fr-FR"/>
        </w:rPr>
        <w:t>Article 1</w:t>
      </w:r>
    </w:p>
    <w:p w:rsidR="00506071" w:rsidRPr="00874348" w:rsidRDefault="00313171" w:rsidP="00874348">
      <w:pPr>
        <w:pStyle w:val="ECHRParaQuote"/>
        <w:rPr>
          <w:rFonts w:eastAsia="Times New Roman"/>
          <w:lang w:val="fr-FR"/>
        </w:rPr>
      </w:pPr>
      <w:r w:rsidRPr="00874348">
        <w:rPr>
          <w:rFonts w:eastAsia="Times New Roman"/>
          <w:lang w:val="fr-FR"/>
        </w:rPr>
        <w:t>« </w:t>
      </w:r>
      <w:r w:rsidR="00506071" w:rsidRPr="00874348">
        <w:rPr>
          <w:rFonts w:eastAsia="Times New Roman"/>
          <w:lang w:val="fr-FR"/>
        </w:rPr>
        <w:t>1. Les individus atteints d</w:t>
      </w:r>
      <w:r w:rsidR="00874348" w:rsidRPr="00874348">
        <w:rPr>
          <w:rFonts w:eastAsia="Times New Roman"/>
          <w:lang w:val="fr-FR"/>
        </w:rPr>
        <w:t>’</w:t>
      </w:r>
      <w:r w:rsidR="00506071" w:rsidRPr="00874348">
        <w:rPr>
          <w:rFonts w:eastAsia="Times New Roman"/>
          <w:lang w:val="fr-FR"/>
        </w:rPr>
        <w:t>hémophilie peuvent obtenir réparation du préjudice subi à la suite de l</w:t>
      </w:r>
      <w:r w:rsidR="00874348" w:rsidRPr="00874348">
        <w:rPr>
          <w:rFonts w:eastAsia="Times New Roman"/>
          <w:lang w:val="fr-FR"/>
        </w:rPr>
        <w:t>’</w:t>
      </w:r>
      <w:r w:rsidR="00506071" w:rsidRPr="00874348">
        <w:rPr>
          <w:rFonts w:eastAsia="Times New Roman"/>
          <w:lang w:val="fr-FR"/>
        </w:rPr>
        <w:t>administration de produits sanguins infectés, selon les critères suivants :</w:t>
      </w:r>
    </w:p>
    <w:p w:rsidR="00506071" w:rsidRPr="00874348" w:rsidRDefault="00506071" w:rsidP="00874348">
      <w:pPr>
        <w:pStyle w:val="ECHRParaQuote"/>
        <w:rPr>
          <w:rFonts w:eastAsia="Times New Roman"/>
          <w:lang w:val="fr-FR"/>
        </w:rPr>
      </w:pPr>
      <w:r w:rsidRPr="00874348">
        <w:rPr>
          <w:rFonts w:eastAsia="Times New Roman"/>
          <w:lang w:val="fr-FR"/>
        </w:rPr>
        <w:t>a) conclusion d</w:t>
      </w:r>
      <w:r w:rsidR="00874348" w:rsidRPr="00874348">
        <w:rPr>
          <w:rFonts w:eastAsia="Times New Roman"/>
          <w:lang w:val="fr-FR"/>
        </w:rPr>
        <w:t>’</w:t>
      </w:r>
      <w:r w:rsidRPr="00874348">
        <w:rPr>
          <w:rFonts w:eastAsia="Times New Roman"/>
          <w:lang w:val="fr-FR"/>
        </w:rPr>
        <w:t>un règlement amiable avec les héritiers des individus atteints décédés ;</w:t>
      </w:r>
    </w:p>
    <w:p w:rsidR="00506071" w:rsidRPr="00874348" w:rsidRDefault="00506071" w:rsidP="00874348">
      <w:pPr>
        <w:pStyle w:val="ECHRParaQuote"/>
        <w:rPr>
          <w:rFonts w:eastAsia="Times New Roman"/>
          <w:lang w:val="fr-FR"/>
        </w:rPr>
      </w:pPr>
      <w:r w:rsidRPr="00874348">
        <w:rPr>
          <w:rFonts w:eastAsia="Times New Roman"/>
          <w:lang w:val="fr-FR"/>
        </w:rPr>
        <w:t>b) conclusion d</w:t>
      </w:r>
      <w:r w:rsidR="00874348" w:rsidRPr="00874348">
        <w:rPr>
          <w:rFonts w:eastAsia="Times New Roman"/>
          <w:lang w:val="fr-FR"/>
        </w:rPr>
        <w:t>’</w:t>
      </w:r>
      <w:r w:rsidRPr="00874348">
        <w:rPr>
          <w:rFonts w:eastAsia="Times New Roman"/>
          <w:lang w:val="fr-FR"/>
        </w:rPr>
        <w:t>un règlement amiable avec les individus atteints vivants ayant obtenu (...) un jugement favorable ;</w:t>
      </w:r>
    </w:p>
    <w:p w:rsidR="00506071" w:rsidRPr="00874348" w:rsidRDefault="00506071" w:rsidP="00874348">
      <w:pPr>
        <w:pStyle w:val="ECHRParaQuote"/>
        <w:rPr>
          <w:rFonts w:eastAsia="Times New Roman"/>
          <w:lang w:val="fr-FR"/>
        </w:rPr>
      </w:pPr>
      <w:r w:rsidRPr="00874348">
        <w:rPr>
          <w:rFonts w:eastAsia="Times New Roman"/>
          <w:lang w:val="fr-FR"/>
        </w:rPr>
        <w:t>c) conclusion d</w:t>
      </w:r>
      <w:r w:rsidR="00874348" w:rsidRPr="00874348">
        <w:rPr>
          <w:rFonts w:eastAsia="Times New Roman"/>
          <w:lang w:val="fr-FR"/>
        </w:rPr>
        <w:t>’</w:t>
      </w:r>
      <w:r w:rsidRPr="00874348">
        <w:rPr>
          <w:rFonts w:eastAsia="Times New Roman"/>
          <w:lang w:val="fr-FR"/>
        </w:rPr>
        <w:t>un règlement amiable avec les individus atteints vivants ayant entamé une action judiciaire sans avoir encore obt</w:t>
      </w:r>
      <w:r w:rsidR="00313171" w:rsidRPr="00874348">
        <w:rPr>
          <w:rFonts w:eastAsia="Times New Roman"/>
          <w:lang w:val="fr-FR"/>
        </w:rPr>
        <w:t>enu de jugement favorable (...) </w:t>
      </w:r>
      <w:r w:rsidRPr="00874348">
        <w:rPr>
          <w:rFonts w:eastAsia="Times New Roman"/>
          <w:lang w:val="fr-FR"/>
        </w:rPr>
        <w: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33</w:t>
      </w:r>
      <w:r w:rsidRPr="00874348">
        <w:rPr>
          <w:rFonts w:eastAsia="Times New Roman"/>
          <w:lang w:val="fr-FR"/>
        </w:rPr>
        <w:fldChar w:fldCharType="end"/>
      </w:r>
      <w:r w:rsidRPr="00874348">
        <w:rPr>
          <w:rFonts w:eastAsia="Times New Roman"/>
          <w:lang w:val="fr-FR"/>
        </w:rPr>
        <w:t>.  Le décret-loi n</w:t>
      </w:r>
      <w:r w:rsidRPr="00874348">
        <w:rPr>
          <w:rFonts w:eastAsia="Times New Roman"/>
          <w:vertAlign w:val="superscript"/>
          <w:lang w:val="fr-FR"/>
        </w:rPr>
        <w:t>o</w:t>
      </w:r>
      <w:r w:rsidRPr="00874348">
        <w:rPr>
          <w:rFonts w:eastAsia="Times New Roman"/>
          <w:lang w:val="fr-FR"/>
        </w:rPr>
        <w:t xml:space="preserve"> 159 du 1</w:t>
      </w:r>
      <w:r w:rsidRPr="00874348">
        <w:rPr>
          <w:rFonts w:eastAsia="Times New Roman"/>
          <w:vertAlign w:val="superscript"/>
          <w:lang w:val="fr-FR"/>
        </w:rPr>
        <w:t>er</w:t>
      </w:r>
      <w:r w:rsidR="00313171" w:rsidRPr="00874348">
        <w:rPr>
          <w:rFonts w:eastAsia="Times New Roman"/>
          <w:lang w:val="fr-FR"/>
        </w:rPr>
        <w:t xml:space="preserve"> octobre 2007 (« </w:t>
      </w:r>
      <w:r w:rsidRPr="00874348">
        <w:rPr>
          <w:rFonts w:eastAsia="Times New Roman"/>
          <w:lang w:val="fr-FR"/>
        </w:rPr>
        <w:t>décret-loi n</w:t>
      </w:r>
      <w:r w:rsidRPr="00874348">
        <w:rPr>
          <w:rFonts w:eastAsia="Times New Roman"/>
          <w:vertAlign w:val="superscript"/>
          <w:lang w:val="fr-FR"/>
        </w:rPr>
        <w:t>o</w:t>
      </w:r>
      <w:r w:rsidRPr="00874348">
        <w:rPr>
          <w:rFonts w:eastAsia="Times New Roman"/>
          <w:lang w:val="fr-FR"/>
        </w:rPr>
        <w:t xml:space="preserve"> </w:t>
      </w:r>
      <w:hyperlink r:id="rId14" w:anchor="{&quot;appno&quot;:[&quot;159/07&quot;]}" w:tgtFrame="_blank" w:history="1">
        <w:r w:rsidRPr="00874348">
          <w:rPr>
            <w:rFonts w:eastAsia="Times New Roman"/>
            <w:lang w:val="fr-FR"/>
          </w:rPr>
          <w:t>159/07</w:t>
        </w:r>
      </w:hyperlink>
      <w:r w:rsidR="00313171" w:rsidRPr="00874348">
        <w:rPr>
          <w:rFonts w:eastAsia="Times New Roman"/>
          <w:lang w:val="fr-FR"/>
        </w:rPr>
        <w:t> </w:t>
      </w:r>
      <w:r w:rsidRPr="00874348">
        <w:rPr>
          <w:rFonts w:eastAsia="Times New Roman"/>
          <w:lang w:val="fr-FR"/>
        </w:rPr>
        <w:t>», converti en la loi n</w:t>
      </w:r>
      <w:r w:rsidRPr="00874348">
        <w:rPr>
          <w:rFonts w:eastAsia="Times New Roman"/>
          <w:vertAlign w:val="superscript"/>
          <w:lang w:val="fr-FR"/>
        </w:rPr>
        <w:t>o</w:t>
      </w:r>
      <w:r w:rsidRPr="00874348">
        <w:rPr>
          <w:rFonts w:eastAsia="Times New Roman"/>
          <w:lang w:val="fr-FR"/>
        </w:rPr>
        <w:t xml:space="preserve"> 222 du 29 novembre 2007 (« loi n</w:t>
      </w:r>
      <w:r w:rsidRPr="00874348">
        <w:rPr>
          <w:rFonts w:eastAsia="Times New Roman"/>
          <w:vertAlign w:val="superscript"/>
          <w:lang w:val="fr-FR"/>
        </w:rPr>
        <w:t>o</w:t>
      </w:r>
      <w:r w:rsidRPr="00874348">
        <w:rPr>
          <w:rFonts w:eastAsia="Times New Roman"/>
          <w:lang w:val="fr-FR"/>
        </w:rPr>
        <w:t xml:space="preserve"> 222/2007 ») a autorisé pour l</w:t>
      </w:r>
      <w:r w:rsidR="00874348" w:rsidRPr="00874348">
        <w:rPr>
          <w:rFonts w:eastAsia="Times New Roman"/>
          <w:lang w:val="fr-FR"/>
        </w:rPr>
        <w:t>’</w:t>
      </w:r>
      <w:r w:rsidRPr="00874348">
        <w:rPr>
          <w:rFonts w:eastAsia="Times New Roman"/>
          <w:lang w:val="fr-FR"/>
        </w:rPr>
        <w:t>année 2007 une dépense publique de 150 000 000 EUR afin que puissent être réglées à l</w:t>
      </w:r>
      <w:r w:rsidR="00874348" w:rsidRPr="00874348">
        <w:rPr>
          <w:rFonts w:eastAsia="Times New Roman"/>
          <w:lang w:val="fr-FR"/>
        </w:rPr>
        <w:t>’</w:t>
      </w:r>
      <w:r w:rsidRPr="00874348">
        <w:rPr>
          <w:rFonts w:eastAsia="Times New Roman"/>
          <w:lang w:val="fr-FR"/>
        </w:rPr>
        <w:t>amiable les procédures en dommages-intérêts pendant</w:t>
      </w:r>
      <w:r w:rsidR="00313171" w:rsidRPr="00874348">
        <w:rPr>
          <w:rFonts w:eastAsia="Times New Roman"/>
          <w:lang w:val="fr-FR"/>
        </w:rPr>
        <w:t>es, entamées entre autres par « </w:t>
      </w:r>
      <w:r w:rsidRPr="00874348">
        <w:rPr>
          <w:rFonts w:eastAsia="Times New Roman"/>
          <w:lang w:val="fr-FR"/>
        </w:rPr>
        <w:t xml:space="preserve">les personnes atteintes de </w:t>
      </w:r>
      <w:r w:rsidRPr="00874348">
        <w:rPr>
          <w:rFonts w:eastAsia="Times New Roman"/>
          <w:lang w:val="fr-FR"/>
        </w:rPr>
        <w:lastRenderedPageBreak/>
        <w:t>thalassémie, d</w:t>
      </w:r>
      <w:r w:rsidR="00874348" w:rsidRPr="00874348">
        <w:rPr>
          <w:rFonts w:eastAsia="Times New Roman"/>
          <w:lang w:val="fr-FR"/>
        </w:rPr>
        <w:t>’</w:t>
      </w:r>
      <w:r w:rsidRPr="00874348">
        <w:rPr>
          <w:rFonts w:eastAsia="Times New Roman"/>
          <w:lang w:val="fr-FR"/>
        </w:rPr>
        <w:t>autres hémoglobinopathies ou d</w:t>
      </w:r>
      <w:r w:rsidR="00874348" w:rsidRPr="00874348">
        <w:rPr>
          <w:rFonts w:eastAsia="Times New Roman"/>
          <w:lang w:val="fr-FR"/>
        </w:rPr>
        <w:t>’</w:t>
      </w:r>
      <w:r w:rsidRPr="00874348">
        <w:rPr>
          <w:rFonts w:eastAsia="Times New Roman"/>
          <w:lang w:val="fr-FR"/>
        </w:rPr>
        <w:t xml:space="preserve">anémies héréditaires, les hémophiles et les personnes ayant subi </w:t>
      </w:r>
      <w:r w:rsidR="00313171" w:rsidRPr="00874348">
        <w:rPr>
          <w:rFonts w:eastAsia="Times New Roman"/>
          <w:lang w:val="fr-FR"/>
        </w:rPr>
        <w:t>des transfusions occasionnelles </w:t>
      </w:r>
      <w:r w:rsidRPr="00874348">
        <w:rPr>
          <w:rFonts w:eastAsia="Times New Roman"/>
          <w:lang w:val="fr-FR"/>
        </w:rPr>
        <w:t>» contaminées par la transfusion de sang infecté ou l</w:t>
      </w:r>
      <w:r w:rsidR="00874348" w:rsidRPr="00874348">
        <w:rPr>
          <w:rFonts w:eastAsia="Times New Roman"/>
          <w:lang w:val="fr-FR"/>
        </w:rPr>
        <w:t>’</w:t>
      </w:r>
      <w:r w:rsidRPr="00874348">
        <w:rPr>
          <w:rFonts w:eastAsia="Times New Roman"/>
          <w:lang w:val="fr-FR"/>
        </w:rPr>
        <w:t>administration de produits sanguins infectés.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34</w:t>
      </w:r>
      <w:r w:rsidRPr="00874348">
        <w:rPr>
          <w:rFonts w:eastAsia="Times New Roman"/>
          <w:lang w:val="fr-FR"/>
        </w:rPr>
        <w:fldChar w:fldCharType="end"/>
      </w:r>
      <w:r w:rsidRPr="00874348">
        <w:rPr>
          <w:rFonts w:eastAsia="Times New Roman"/>
          <w:lang w:val="fr-FR"/>
        </w:rPr>
        <w:t>.  Enfin, l</w:t>
      </w:r>
      <w:r w:rsidR="00874348" w:rsidRPr="00874348">
        <w:rPr>
          <w:rFonts w:eastAsia="Times New Roman"/>
          <w:lang w:val="fr-FR"/>
        </w:rPr>
        <w:t>’</w:t>
      </w:r>
      <w:r w:rsidRPr="00874348">
        <w:rPr>
          <w:rFonts w:eastAsia="Times New Roman"/>
          <w:lang w:val="fr-FR"/>
        </w:rPr>
        <w:t>article 2, alinéa 361 de la loi de finances 2008 (n</w:t>
      </w:r>
      <w:r w:rsidRPr="00874348">
        <w:rPr>
          <w:rFonts w:eastAsia="Times New Roman"/>
          <w:vertAlign w:val="superscript"/>
          <w:lang w:val="fr-FR"/>
        </w:rPr>
        <w:t>o</w:t>
      </w:r>
      <w:r w:rsidRPr="00874348">
        <w:rPr>
          <w:rFonts w:eastAsia="Times New Roman"/>
          <w:lang w:val="fr-FR"/>
        </w:rPr>
        <w:t xml:space="preserve"> 244 du 24 décembre 2007) a autorisé une dépense publique de 180 000 000 EUR par an, à partir de 2008, en vue du règlement amiable des procédures en dommages-intérêts pendantes, entamées par les catégories de personnes visées par le décret-loi n</w:t>
      </w:r>
      <w:r w:rsidRPr="00874348">
        <w:rPr>
          <w:rFonts w:eastAsia="Times New Roman"/>
          <w:vertAlign w:val="superscript"/>
          <w:lang w:val="fr-FR"/>
        </w:rPr>
        <w:t>o</w:t>
      </w:r>
      <w:r w:rsidRPr="00874348">
        <w:rPr>
          <w:rFonts w:eastAsia="Times New Roman"/>
          <w:lang w:val="fr-FR"/>
        </w:rPr>
        <w:t xml:space="preserve"> </w:t>
      </w:r>
      <w:hyperlink r:id="rId15" w:anchor="{&quot;appno&quot;:[&quot;159/07&quot;]}" w:tgtFrame="_blank" w:history="1">
        <w:r w:rsidRPr="00874348">
          <w:rPr>
            <w:rFonts w:eastAsia="Times New Roman"/>
            <w:lang w:val="fr-FR"/>
          </w:rPr>
          <w:t>159/07</w:t>
        </w:r>
      </w:hyperlink>
      <w:r w:rsidRPr="00874348">
        <w:rPr>
          <w:rFonts w:eastAsia="Times New Roman"/>
          <w:lang w:val="fr-FR"/>
        </w:rPr>
        <w:t>.</w:t>
      </w:r>
    </w:p>
    <w:p w:rsidR="00506071" w:rsidRPr="00874348" w:rsidRDefault="00506071" w:rsidP="00874348">
      <w:pPr>
        <w:pStyle w:val="ECHRPara"/>
        <w:rPr>
          <w:rFonts w:ascii="Times New Roman" w:eastAsia="Times New Roman" w:hAnsi="Times New Roman" w:cs="Times New Roman"/>
          <w:lang w:val="fr-FR"/>
        </w:rPr>
      </w:pPr>
      <w:r w:rsidRPr="00874348">
        <w:rPr>
          <w:rFonts w:ascii="Times New Roman" w:eastAsia="Times New Roman" w:hAnsi="Times New Roman" w:cs="Times New Roman"/>
          <w:lang w:val="fr-FR"/>
        </w:rPr>
        <w:fldChar w:fldCharType="begin"/>
      </w:r>
      <w:r w:rsidRPr="00874348">
        <w:rPr>
          <w:rFonts w:ascii="Times New Roman" w:eastAsia="Times New Roman" w:hAnsi="Times New Roman" w:cs="Times New Roman"/>
          <w:lang w:val="fr-FR"/>
        </w:rPr>
        <w:instrText xml:space="preserve"> SEQ level0 \*arabic </w:instrText>
      </w:r>
      <w:r w:rsidRPr="00874348">
        <w:rPr>
          <w:rFonts w:ascii="Times New Roman" w:eastAsia="Times New Roman" w:hAnsi="Times New Roman" w:cs="Times New Roman"/>
          <w:lang w:val="fr-FR"/>
        </w:rPr>
        <w:fldChar w:fldCharType="separate"/>
      </w:r>
      <w:r w:rsidR="00874348" w:rsidRPr="00874348">
        <w:rPr>
          <w:rFonts w:ascii="Times New Roman" w:eastAsia="Times New Roman" w:hAnsi="Times New Roman" w:cs="Times New Roman"/>
          <w:noProof/>
          <w:lang w:val="fr-FR"/>
        </w:rPr>
        <w:t>35</w:t>
      </w:r>
      <w:r w:rsidRPr="00874348">
        <w:rPr>
          <w:rFonts w:ascii="Times New Roman" w:eastAsia="Times New Roman" w:hAnsi="Times New Roman" w:cs="Times New Roman"/>
          <w:lang w:val="fr-FR"/>
        </w:rPr>
        <w:fldChar w:fldCharType="end"/>
      </w:r>
      <w:r w:rsidRPr="00874348">
        <w:rPr>
          <w:rFonts w:ascii="Times New Roman" w:eastAsia="Times New Roman" w:hAnsi="Times New Roman" w:cs="Times New Roman"/>
          <w:lang w:val="fr-FR"/>
        </w:rPr>
        <w:t>.  La fixation de critères pour la conclusion de règlements amiables prévus par le décret-loi n</w:t>
      </w:r>
      <w:r w:rsidRPr="00874348">
        <w:rPr>
          <w:rFonts w:ascii="Times New Roman" w:eastAsia="Times New Roman" w:hAnsi="Times New Roman" w:cs="Times New Roman"/>
          <w:vertAlign w:val="superscript"/>
          <w:lang w:val="fr-FR"/>
        </w:rPr>
        <w:t>o</w:t>
      </w:r>
      <w:r w:rsidRPr="00874348">
        <w:rPr>
          <w:rFonts w:ascii="Times New Roman" w:eastAsia="Times New Roman" w:hAnsi="Times New Roman" w:cs="Times New Roman"/>
          <w:lang w:val="fr-FR"/>
        </w:rPr>
        <w:t xml:space="preserve"> </w:t>
      </w:r>
      <w:hyperlink r:id="rId16" w:anchor="{&quot;appno&quot;:[&quot;159/07&quot;]}" w:tgtFrame="_blank" w:history="1">
        <w:r w:rsidRPr="00874348">
          <w:rPr>
            <w:rFonts w:ascii="Times New Roman" w:eastAsia="Times New Roman" w:hAnsi="Times New Roman" w:cs="Times New Roman"/>
            <w:lang w:val="fr-FR"/>
          </w:rPr>
          <w:t>159/07</w:t>
        </w:r>
      </w:hyperlink>
      <w:r w:rsidRPr="00874348">
        <w:rPr>
          <w:rFonts w:ascii="Times New Roman" w:eastAsia="Times New Roman" w:hAnsi="Times New Roman" w:cs="Times New Roman"/>
          <w:lang w:val="fr-FR"/>
        </w:rPr>
        <w:t xml:space="preserve"> et la loi de finances 2008 a été déléguée au ministre de la Santé, conjointement avec le ministre de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Économie et des Finances.</w:t>
      </w:r>
    </w:p>
    <w:p w:rsidR="00506071" w:rsidRPr="00874348" w:rsidRDefault="00506071" w:rsidP="00874348">
      <w:pPr>
        <w:pStyle w:val="ECHRHeading2"/>
        <w:rPr>
          <w:rFonts w:eastAsia="Times New Roman"/>
          <w:lang w:val="fr-FR"/>
        </w:rPr>
      </w:pPr>
      <w:r w:rsidRPr="00874348">
        <w:rPr>
          <w:rFonts w:eastAsia="Times New Roman"/>
          <w:lang w:val="fr-FR"/>
        </w:rPr>
        <w:t>C.  Les critères d</w:t>
      </w:r>
      <w:r w:rsidR="00874348" w:rsidRPr="00874348">
        <w:rPr>
          <w:rFonts w:eastAsia="Times New Roman"/>
          <w:lang w:val="fr-FR"/>
        </w:rPr>
        <w:t>’</w:t>
      </w:r>
      <w:r w:rsidRPr="00874348">
        <w:rPr>
          <w:rFonts w:eastAsia="Times New Roman"/>
          <w:lang w:val="fr-FR"/>
        </w:rPr>
        <w:t>accès aux règlements amiables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36</w:t>
      </w:r>
      <w:r w:rsidRPr="00874348">
        <w:rPr>
          <w:rFonts w:eastAsia="Times New Roman"/>
          <w:lang w:val="fr-FR"/>
        </w:rPr>
        <w:fldChar w:fldCharType="end"/>
      </w:r>
      <w:r w:rsidRPr="00874348">
        <w:rPr>
          <w:rFonts w:eastAsia="Times New Roman"/>
          <w:lang w:val="fr-FR"/>
        </w:rPr>
        <w:t>.  Les critères permettant l</w:t>
      </w:r>
      <w:r w:rsidR="00874348" w:rsidRPr="00874348">
        <w:rPr>
          <w:rFonts w:eastAsia="Times New Roman"/>
          <w:lang w:val="fr-FR"/>
        </w:rPr>
        <w:t>’</w:t>
      </w:r>
      <w:r w:rsidRPr="00874348">
        <w:rPr>
          <w:rFonts w:eastAsia="Times New Roman"/>
          <w:lang w:val="fr-FR"/>
        </w:rPr>
        <w:t>accès au dispositif de règlement amiable des procédures pendantes prévus par les lois n</w:t>
      </w:r>
      <w:r w:rsidRPr="00874348">
        <w:rPr>
          <w:rFonts w:eastAsia="Times New Roman"/>
          <w:vertAlign w:val="superscript"/>
          <w:lang w:val="fr-FR"/>
        </w:rPr>
        <w:t>os</w:t>
      </w:r>
      <w:r w:rsidRPr="00874348">
        <w:rPr>
          <w:rFonts w:eastAsia="Times New Roman"/>
          <w:lang w:val="fr-FR"/>
        </w:rPr>
        <w:t xml:space="preserve"> 222/2007 et 244/2007, sont fixés par le décret du ministère de la Santé n</w:t>
      </w:r>
      <w:r w:rsidRPr="00874348">
        <w:rPr>
          <w:rFonts w:eastAsia="Times New Roman"/>
          <w:vertAlign w:val="superscript"/>
          <w:lang w:val="fr-FR"/>
        </w:rPr>
        <w:t>o</w:t>
      </w:r>
      <w:r w:rsidRPr="00874348">
        <w:rPr>
          <w:rFonts w:eastAsia="Times New Roman"/>
          <w:lang w:val="fr-FR"/>
        </w:rPr>
        <w:t xml:space="preserve"> 132 du 28 avril 2009.</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37</w:t>
      </w:r>
      <w:r w:rsidRPr="00874348">
        <w:rPr>
          <w:rFonts w:eastAsia="Times New Roman"/>
          <w:lang w:val="fr-FR"/>
        </w:rPr>
        <w:fldChar w:fldCharType="end"/>
      </w:r>
      <w:r w:rsidRPr="00874348">
        <w:rPr>
          <w:rFonts w:eastAsia="Times New Roman"/>
          <w:lang w:val="fr-FR"/>
        </w:rPr>
        <w:t>.  Ses parties pertinentes disposent ainsi :</w:t>
      </w:r>
    </w:p>
    <w:p w:rsidR="00506071" w:rsidRPr="00874348" w:rsidRDefault="00506071" w:rsidP="00874348">
      <w:pPr>
        <w:pStyle w:val="ECHRTitleCentre3"/>
        <w:rPr>
          <w:rFonts w:eastAsia="Times New Roman"/>
          <w:lang w:val="fr-FR"/>
        </w:rPr>
      </w:pPr>
      <w:r w:rsidRPr="00874348">
        <w:rPr>
          <w:rFonts w:eastAsia="Times New Roman"/>
          <w:lang w:val="fr-FR"/>
        </w:rPr>
        <w:t>Article 2</w:t>
      </w:r>
    </w:p>
    <w:p w:rsidR="00506071" w:rsidRPr="00874348" w:rsidRDefault="00506071" w:rsidP="00874348">
      <w:pPr>
        <w:pStyle w:val="ECHRParaQuote"/>
        <w:rPr>
          <w:rFonts w:eastAsia="Times New Roman"/>
          <w:lang w:val="fr-FR"/>
        </w:rPr>
      </w:pPr>
      <w:r w:rsidRPr="00874348">
        <w:rPr>
          <w:rFonts w:eastAsia="Times New Roman"/>
          <w:lang w:val="fr-FR"/>
        </w:rPr>
        <w:t>« 1. Les conditions pour la conclusion des transactions sont les suivantes :</w:t>
      </w:r>
    </w:p>
    <w:p w:rsidR="00506071" w:rsidRPr="00874348" w:rsidRDefault="00506071" w:rsidP="00874348">
      <w:pPr>
        <w:pStyle w:val="ECHRParaQuote"/>
        <w:rPr>
          <w:rFonts w:eastAsia="Times New Roman"/>
          <w:lang w:val="fr-FR"/>
        </w:rPr>
      </w:pPr>
      <w:r w:rsidRPr="00874348">
        <w:rPr>
          <w:rFonts w:eastAsia="Times New Roman"/>
          <w:lang w:val="fr-FR"/>
        </w:rPr>
        <w:t>a) l</w:t>
      </w:r>
      <w:r w:rsidR="00874348" w:rsidRPr="00874348">
        <w:rPr>
          <w:rFonts w:eastAsia="Times New Roman"/>
          <w:lang w:val="fr-FR"/>
        </w:rPr>
        <w:t>’</w:t>
      </w:r>
      <w:r w:rsidRPr="00874348">
        <w:rPr>
          <w:rFonts w:eastAsia="Times New Roman"/>
          <w:lang w:val="fr-FR"/>
        </w:rPr>
        <w:t>existence d</w:t>
      </w:r>
      <w:r w:rsidR="00874348" w:rsidRPr="00874348">
        <w:rPr>
          <w:rFonts w:eastAsia="Times New Roman"/>
          <w:lang w:val="fr-FR"/>
        </w:rPr>
        <w:t>’</w:t>
      </w:r>
      <w:r w:rsidRPr="00874348">
        <w:rPr>
          <w:rFonts w:eastAsia="Times New Roman"/>
          <w:lang w:val="fr-FR"/>
        </w:rPr>
        <w:t>un préjudice établie dans le tableau A annexé au décret du Président de la République n</w:t>
      </w:r>
      <w:r w:rsidRPr="00874348">
        <w:rPr>
          <w:rFonts w:eastAsia="Times New Roman"/>
          <w:vertAlign w:val="superscript"/>
          <w:lang w:val="fr-FR"/>
        </w:rPr>
        <w:t>o</w:t>
      </w:r>
      <w:r w:rsidRPr="00874348">
        <w:rPr>
          <w:rFonts w:eastAsia="Times New Roman"/>
          <w:lang w:val="fr-FR"/>
        </w:rPr>
        <w:t xml:space="preserve"> 834 du 30 décembre 1981, vérifiée par la Commission médicale hospitalière compétente (...) ;</w:t>
      </w:r>
    </w:p>
    <w:p w:rsidR="00506071" w:rsidRPr="00874348" w:rsidRDefault="00506071" w:rsidP="00874348">
      <w:pPr>
        <w:pStyle w:val="ECHRParaQuote"/>
        <w:rPr>
          <w:rFonts w:eastAsia="Times New Roman"/>
          <w:lang w:val="fr-FR"/>
        </w:rPr>
      </w:pPr>
      <w:r w:rsidRPr="00874348">
        <w:rPr>
          <w:rFonts w:eastAsia="Times New Roman"/>
          <w:lang w:val="fr-FR"/>
        </w:rPr>
        <w:t>b) l</w:t>
      </w:r>
      <w:r w:rsidR="00874348" w:rsidRPr="00874348">
        <w:rPr>
          <w:rFonts w:eastAsia="Times New Roman"/>
          <w:lang w:val="fr-FR"/>
        </w:rPr>
        <w:t>’</w:t>
      </w:r>
      <w:r w:rsidRPr="00874348">
        <w:rPr>
          <w:rFonts w:eastAsia="Times New Roman"/>
          <w:lang w:val="fr-FR"/>
        </w:rPr>
        <w:t>existence d</w:t>
      </w:r>
      <w:r w:rsidR="00874348" w:rsidRPr="00874348">
        <w:rPr>
          <w:rFonts w:eastAsia="Times New Roman"/>
          <w:lang w:val="fr-FR"/>
        </w:rPr>
        <w:t>’</w:t>
      </w:r>
      <w:r w:rsidRPr="00874348">
        <w:rPr>
          <w:rFonts w:eastAsia="Times New Roman"/>
          <w:lang w:val="fr-FR"/>
        </w:rPr>
        <w:t>un lien de causalité entre le préjudice susmentionné et la transfusion du sang infecté, l</w:t>
      </w:r>
      <w:r w:rsidR="00874348" w:rsidRPr="00874348">
        <w:rPr>
          <w:rFonts w:eastAsia="Times New Roman"/>
          <w:lang w:val="fr-FR"/>
        </w:rPr>
        <w:t>’</w:t>
      </w:r>
      <w:r w:rsidRPr="00874348">
        <w:rPr>
          <w:rFonts w:eastAsia="Times New Roman"/>
          <w:lang w:val="fr-FR"/>
        </w:rPr>
        <w:t>administration de produits infectés dérivés du sang ou la vaccination obligatoire, vérifiée par la Commission médicale hospitalière compétente (...).</w:t>
      </w:r>
    </w:p>
    <w:p w:rsidR="00506071" w:rsidRPr="00874348" w:rsidRDefault="00506071" w:rsidP="00874348">
      <w:pPr>
        <w:pStyle w:val="ECHRParaQuote"/>
        <w:rPr>
          <w:rFonts w:eastAsia="Times New Roman"/>
          <w:lang w:val="fr-FR"/>
        </w:rPr>
      </w:pPr>
      <w:r w:rsidRPr="00874348">
        <w:rPr>
          <w:rFonts w:eastAsia="Times New Roman"/>
          <w:lang w:val="fr-FR"/>
        </w:rPr>
        <w:t>2. Pour la conclusion des transactions, les principes généraux en matière d</w:t>
      </w:r>
      <w:r w:rsidR="00874348" w:rsidRPr="00874348">
        <w:rPr>
          <w:rFonts w:eastAsia="Times New Roman"/>
          <w:lang w:val="fr-FR"/>
        </w:rPr>
        <w:t>’</w:t>
      </w:r>
      <w:r w:rsidRPr="00874348">
        <w:rPr>
          <w:rFonts w:eastAsia="Times New Roman"/>
          <w:lang w:val="fr-FR"/>
        </w:rPr>
        <w:t>expiration des délais de prescription s</w:t>
      </w:r>
      <w:r w:rsidR="00874348" w:rsidRPr="00874348">
        <w:rPr>
          <w:rFonts w:eastAsia="Times New Roman"/>
          <w:lang w:val="fr-FR"/>
        </w:rPr>
        <w:t>’</w:t>
      </w:r>
      <w:r w:rsidRPr="00874348">
        <w:rPr>
          <w:rFonts w:eastAsia="Times New Roman"/>
          <w:lang w:val="fr-FR"/>
        </w:rPr>
        <w:t>appliquent. »</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38</w:t>
      </w:r>
      <w:r w:rsidRPr="00874348">
        <w:rPr>
          <w:rFonts w:eastAsia="Times New Roman"/>
          <w:lang w:val="fr-FR"/>
        </w:rPr>
        <w:fldChar w:fldCharType="end"/>
      </w:r>
      <w:r w:rsidRPr="00874348">
        <w:rPr>
          <w:rFonts w:eastAsia="Times New Roman"/>
          <w:lang w:val="fr-FR"/>
        </w:rPr>
        <w:t>.  La procédure pour l</w:t>
      </w:r>
      <w:r w:rsidR="00874348" w:rsidRPr="00874348">
        <w:rPr>
          <w:rFonts w:eastAsia="Times New Roman"/>
          <w:lang w:val="fr-FR"/>
        </w:rPr>
        <w:t>’</w:t>
      </w:r>
      <w:r w:rsidRPr="00874348">
        <w:rPr>
          <w:rFonts w:eastAsia="Times New Roman"/>
          <w:lang w:val="fr-FR"/>
        </w:rPr>
        <w:t>introduction des demandes de règlement amiable est définie par la circulaire du ministère de la Santé n</w:t>
      </w:r>
      <w:r w:rsidRPr="00874348">
        <w:rPr>
          <w:rFonts w:eastAsia="Times New Roman"/>
          <w:vertAlign w:val="superscript"/>
          <w:lang w:val="fr-FR"/>
        </w:rPr>
        <w:t>o</w:t>
      </w:r>
      <w:r w:rsidRPr="00874348">
        <w:rPr>
          <w:rFonts w:eastAsia="Times New Roman"/>
          <w:lang w:val="fr-FR"/>
        </w:rPr>
        <w:t xml:space="preserve"> 28 du 20 octobre 2009, publiée au Journal Officiel le 22 octobre 2009. Aux termes de celle-ci, les demandes de règlement amiable des procédures pendantes devaient être introduites dans un délai de quatre-vingt-dix jours suivant la date de publication de ladite circulaire (c</w:t>
      </w:r>
      <w:r w:rsidR="00874348" w:rsidRPr="00874348">
        <w:rPr>
          <w:rFonts w:eastAsia="Times New Roman"/>
          <w:lang w:val="fr-FR"/>
        </w:rPr>
        <w:t>’</w:t>
      </w:r>
      <w:r w:rsidRPr="00874348">
        <w:rPr>
          <w:rFonts w:eastAsia="Times New Roman"/>
          <w:lang w:val="fr-FR"/>
        </w:rPr>
        <w:t>est-à-dire, au plus tard le 19 janvier</w:t>
      </w:r>
      <w:r w:rsidR="00313171" w:rsidRPr="00874348">
        <w:rPr>
          <w:rFonts w:eastAsia="Times New Roman"/>
          <w:lang w:val="fr-FR"/>
        </w:rPr>
        <w:t xml:space="preserve"> </w:t>
      </w:r>
      <w:r w:rsidRPr="00874348">
        <w:rPr>
          <w:rFonts w:eastAsia="Times New Roman"/>
          <w:lang w:val="fr-FR"/>
        </w:rPr>
        <w:t>2010).</w:t>
      </w:r>
    </w:p>
    <w:p w:rsidR="00506071" w:rsidRPr="00874348" w:rsidRDefault="00506071" w:rsidP="00874348">
      <w:pPr>
        <w:pStyle w:val="ECHRHeading2"/>
        <w:rPr>
          <w:rFonts w:eastAsia="Times New Roman"/>
          <w:lang w:val="fr-FR"/>
        </w:rPr>
      </w:pPr>
      <w:r w:rsidRPr="00874348">
        <w:rPr>
          <w:rFonts w:eastAsia="Times New Roman"/>
          <w:lang w:val="fr-FR"/>
        </w:rPr>
        <w:lastRenderedPageBreak/>
        <w:t>D</w:t>
      </w:r>
      <w:r w:rsidR="00D53B1C" w:rsidRPr="00874348">
        <w:rPr>
          <w:rFonts w:eastAsia="Times New Roman"/>
          <w:lang w:val="fr-FR"/>
        </w:rPr>
        <w:t>.</w:t>
      </w:r>
      <w:r w:rsidRPr="00874348">
        <w:rPr>
          <w:rFonts w:eastAsia="Times New Roman"/>
          <w:lang w:val="fr-FR"/>
        </w:rPr>
        <w:t>  Les critères ultérieurs fixés par le décret du ministère de la Santé n</w:t>
      </w:r>
      <w:r w:rsidRPr="00874348">
        <w:rPr>
          <w:rFonts w:eastAsia="Times New Roman"/>
          <w:vertAlign w:val="superscript"/>
          <w:lang w:val="fr-FR"/>
        </w:rPr>
        <w:t>o</w:t>
      </w:r>
      <w:r w:rsidRPr="00874348">
        <w:rPr>
          <w:rFonts w:eastAsia="Times New Roman"/>
          <w:lang w:val="fr-FR"/>
        </w:rPr>
        <w:t> 162 publié au Journal Officiel le 13 juillet 2012 (« décret n</w:t>
      </w:r>
      <w:r w:rsidRPr="00874348">
        <w:rPr>
          <w:rFonts w:eastAsia="Times New Roman"/>
          <w:vertAlign w:val="superscript"/>
          <w:lang w:val="fr-FR"/>
        </w:rPr>
        <w:t>o</w:t>
      </w:r>
      <w:r w:rsidRPr="00874348">
        <w:rPr>
          <w:rFonts w:eastAsia="Times New Roman"/>
          <w:lang w:val="fr-FR"/>
        </w:rPr>
        <w:t> 162/12 »)</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39</w:t>
      </w:r>
      <w:r w:rsidRPr="00874348">
        <w:rPr>
          <w:rFonts w:eastAsia="Times New Roman"/>
          <w:lang w:val="fr-FR"/>
        </w:rPr>
        <w:fldChar w:fldCharType="end"/>
      </w:r>
      <w:r w:rsidRPr="00874348">
        <w:rPr>
          <w:rFonts w:eastAsia="Times New Roman"/>
          <w:lang w:val="fr-FR"/>
        </w:rPr>
        <w:t>.  En ses articles 2 et 3 ainsi qu</w:t>
      </w:r>
      <w:r w:rsidR="00874348" w:rsidRPr="00874348">
        <w:rPr>
          <w:rFonts w:eastAsia="Times New Roman"/>
          <w:lang w:val="fr-FR"/>
        </w:rPr>
        <w:t>’</w:t>
      </w:r>
      <w:r w:rsidRPr="00874348">
        <w:rPr>
          <w:rFonts w:eastAsia="Times New Roman"/>
          <w:lang w:val="fr-FR"/>
        </w:rPr>
        <w:t>en ses annexes, le décret n</w:t>
      </w:r>
      <w:r w:rsidRPr="00874348">
        <w:rPr>
          <w:rFonts w:eastAsia="Times New Roman"/>
          <w:vertAlign w:val="superscript"/>
          <w:lang w:val="fr-FR"/>
        </w:rPr>
        <w:t>o</w:t>
      </w:r>
      <w:r w:rsidRPr="00874348">
        <w:rPr>
          <w:rFonts w:eastAsia="Times New Roman"/>
          <w:lang w:val="fr-FR"/>
        </w:rPr>
        <w:t xml:space="preserve"> </w:t>
      </w:r>
      <w:r w:rsidRPr="00874348">
        <w:rPr>
          <w:rFonts w:eastAsia="Times New Roman" w:cs="Calibri"/>
          <w:lang w:val="fr-FR"/>
        </w:rPr>
        <w:t>162/12</w:t>
      </w:r>
      <w:r w:rsidRPr="00874348">
        <w:rPr>
          <w:rFonts w:eastAsia="Times New Roman"/>
          <w:lang w:val="fr-FR"/>
        </w:rPr>
        <w:t xml:space="preserve"> (relatif aux formulaires de transaction) a fixé les montants de base des transactions.</w:t>
      </w:r>
    </w:p>
    <w:p w:rsidR="00506071" w:rsidRPr="00874348" w:rsidRDefault="00506071" w:rsidP="00874348">
      <w:pPr>
        <w:pStyle w:val="ECHRPara"/>
        <w:rPr>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40</w:t>
      </w:r>
      <w:r w:rsidRPr="00874348">
        <w:rPr>
          <w:rFonts w:eastAsia="Times New Roman"/>
          <w:lang w:val="fr-FR"/>
        </w:rPr>
        <w:fldChar w:fldCharType="end"/>
      </w:r>
      <w:r w:rsidRPr="00874348">
        <w:rPr>
          <w:rFonts w:eastAsia="Times New Roman"/>
          <w:lang w:val="fr-FR"/>
        </w:rPr>
        <w:t>.  L</w:t>
      </w:r>
      <w:r w:rsidR="00874348" w:rsidRPr="00874348">
        <w:rPr>
          <w:rFonts w:eastAsia="Times New Roman"/>
          <w:lang w:val="fr-FR"/>
        </w:rPr>
        <w:t>’</w:t>
      </w:r>
      <w:r w:rsidRPr="00874348">
        <w:rPr>
          <w:rFonts w:eastAsia="Times New Roman"/>
          <w:lang w:val="fr-FR"/>
        </w:rPr>
        <w:t>article 5 du décret précise que le dispositif de règlement amiable prévu par les lois n</w:t>
      </w:r>
      <w:r w:rsidRPr="00874348">
        <w:rPr>
          <w:rFonts w:eastAsia="Times New Roman"/>
          <w:vertAlign w:val="superscript"/>
          <w:lang w:val="fr-FR"/>
        </w:rPr>
        <w:t>os </w:t>
      </w:r>
      <w:r w:rsidRPr="00874348">
        <w:rPr>
          <w:rFonts w:eastAsia="Times New Roman"/>
          <w:lang w:val="fr-FR"/>
        </w:rPr>
        <w:t xml:space="preserve">222 et 244 de 2007 est accessible aux personnes ayant </w:t>
      </w:r>
      <w:r w:rsidRPr="00874348">
        <w:rPr>
          <w:lang w:val="fr-FR"/>
        </w:rPr>
        <w:t>introduit une demande au plus tard le 19 janvier 2010 et aux conditions fixées dans son premier paragraphe, notamment :</w:t>
      </w:r>
    </w:p>
    <w:p w:rsidR="00506071" w:rsidRPr="00874348" w:rsidRDefault="00506071" w:rsidP="00874348">
      <w:pPr>
        <w:pStyle w:val="ECHRParaQuote"/>
        <w:rPr>
          <w:rFonts w:eastAsia="Times New Roman"/>
          <w:lang w:val="fr-FR"/>
        </w:rPr>
      </w:pPr>
      <w:r w:rsidRPr="00874348">
        <w:rPr>
          <w:rFonts w:eastAsia="Times New Roman"/>
          <w:lang w:val="fr-FR"/>
        </w:rPr>
        <w:t>« a)  pour les personnes en vie, la procédure en indemnisation doit avoir été engagée dans un délai de cinq ans suivant la date d</w:t>
      </w:r>
      <w:r w:rsidR="00874348" w:rsidRPr="00874348">
        <w:rPr>
          <w:rFonts w:eastAsia="Times New Roman"/>
          <w:lang w:val="fr-FR"/>
        </w:rPr>
        <w:t>’</w:t>
      </w:r>
      <w:r w:rsidRPr="00874348">
        <w:rPr>
          <w:rFonts w:eastAsia="Times New Roman"/>
          <w:lang w:val="fr-FR"/>
        </w:rPr>
        <w:t>introduction d</w:t>
      </w:r>
      <w:r w:rsidR="00874348" w:rsidRPr="00874348">
        <w:rPr>
          <w:rFonts w:eastAsia="Times New Roman"/>
          <w:lang w:val="fr-FR"/>
        </w:rPr>
        <w:t>’</w:t>
      </w:r>
      <w:r w:rsidRPr="00874348">
        <w:rPr>
          <w:rFonts w:eastAsia="Times New Roman"/>
          <w:lang w:val="fr-FR"/>
        </w:rPr>
        <w:t>une demande de dédommagement au sens de la loi n</w:t>
      </w:r>
      <w:r w:rsidRPr="00874348">
        <w:rPr>
          <w:rFonts w:eastAsia="Times New Roman"/>
          <w:vertAlign w:val="superscript"/>
          <w:lang w:val="fr-FR"/>
        </w:rPr>
        <w:t>o</w:t>
      </w:r>
      <w:r w:rsidRPr="00874348">
        <w:rPr>
          <w:rFonts w:eastAsia="Times New Roman"/>
          <w:lang w:val="fr-FR"/>
        </w:rPr>
        <w:t xml:space="preserve"> 210/92, ou dans un délai de cinq ans suivant la date, éventuellement antérieure, à laquelle il a été prouvé que les personnes concernées avaient eu connaissance de leur contamination ;</w:t>
      </w:r>
    </w:p>
    <w:p w:rsidR="00506071" w:rsidRPr="00874348" w:rsidRDefault="00506071" w:rsidP="00874348">
      <w:pPr>
        <w:pStyle w:val="ECHRParaQuote"/>
        <w:rPr>
          <w:rFonts w:eastAsia="Times New Roman"/>
          <w:lang w:val="fr-FR"/>
        </w:rPr>
      </w:pPr>
      <w:r w:rsidRPr="00874348">
        <w:rPr>
          <w:rFonts w:eastAsia="Times New Roman"/>
          <w:lang w:val="fr-FR"/>
        </w:rPr>
        <w:t>b)  pour les personnes décédées, la procédure en indemnisation, engagée par leurs ayants droit, doit avoir été notifiée dans un délai de dix ans suivant la date du décès ;</w:t>
      </w:r>
    </w:p>
    <w:p w:rsidR="00506071" w:rsidRPr="00874348" w:rsidRDefault="00506071" w:rsidP="00874348">
      <w:pPr>
        <w:pStyle w:val="ECHRParaQuote"/>
        <w:rPr>
          <w:rFonts w:eastAsia="Times New Roman"/>
          <w:lang w:val="fr-FR"/>
        </w:rPr>
      </w:pPr>
      <w:r w:rsidRPr="00874348">
        <w:rPr>
          <w:rFonts w:eastAsia="Times New Roman"/>
          <w:lang w:val="fr-FR"/>
        </w:rPr>
        <w:t>c)  aucun jugement portant prescription de l</w:t>
      </w:r>
      <w:r w:rsidR="00874348" w:rsidRPr="00874348">
        <w:rPr>
          <w:rFonts w:eastAsia="Times New Roman"/>
          <w:lang w:val="fr-FR"/>
        </w:rPr>
        <w:t>’</w:t>
      </w:r>
      <w:r w:rsidRPr="00874348">
        <w:rPr>
          <w:rFonts w:eastAsia="Times New Roman"/>
          <w:lang w:val="fr-FR"/>
        </w:rPr>
        <w:t>action en indemnisation ne doit avoir été prononcé. »</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41</w:t>
      </w:r>
      <w:r w:rsidRPr="00874348">
        <w:rPr>
          <w:rFonts w:eastAsia="Times New Roman"/>
          <w:lang w:val="fr-FR"/>
        </w:rPr>
        <w:fldChar w:fldCharType="end"/>
      </w:r>
      <w:r w:rsidRPr="00874348">
        <w:rPr>
          <w:rFonts w:eastAsia="Times New Roman"/>
          <w:lang w:val="fr-FR"/>
        </w:rPr>
        <w:t>.  Dans son deuxième paragraphe, l</w:t>
      </w:r>
      <w:r w:rsidR="00874348" w:rsidRPr="00874348">
        <w:rPr>
          <w:rFonts w:eastAsia="Times New Roman"/>
          <w:lang w:val="fr-FR"/>
        </w:rPr>
        <w:t>’</w:t>
      </w:r>
      <w:r w:rsidRPr="00874348">
        <w:rPr>
          <w:rFonts w:eastAsia="Times New Roman"/>
          <w:lang w:val="fr-FR"/>
        </w:rPr>
        <w:t>article 5 prévoit que les transactions sont ouvertes aux personnes ayant présenté leur demande de règlement amiable concernant une transfusion ayant eu lieu à partir du 24 juillet 1978.</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42</w:t>
      </w:r>
      <w:r w:rsidRPr="00874348">
        <w:rPr>
          <w:rFonts w:eastAsia="Times New Roman"/>
          <w:lang w:val="fr-FR"/>
        </w:rPr>
        <w:fldChar w:fldCharType="end"/>
      </w:r>
      <w:r w:rsidRPr="00874348">
        <w:rPr>
          <w:rFonts w:eastAsia="Times New Roman"/>
          <w:lang w:val="fr-FR"/>
        </w:rPr>
        <w:t>.  Cette dernière est la date d</w:t>
      </w:r>
      <w:r w:rsidR="00874348" w:rsidRPr="00874348">
        <w:rPr>
          <w:rFonts w:eastAsia="Times New Roman"/>
          <w:lang w:val="fr-FR"/>
        </w:rPr>
        <w:t>’</w:t>
      </w:r>
      <w:r w:rsidRPr="00874348">
        <w:rPr>
          <w:rFonts w:eastAsia="Times New Roman"/>
          <w:lang w:val="fr-FR"/>
        </w:rPr>
        <w:t>adoption de la circulaire n</w:t>
      </w:r>
      <w:r w:rsidRPr="00874348">
        <w:rPr>
          <w:rFonts w:eastAsia="Times New Roman"/>
          <w:vertAlign w:val="superscript"/>
          <w:lang w:val="fr-FR"/>
        </w:rPr>
        <w:t>o</w:t>
      </w:r>
      <w:r w:rsidRPr="00874348">
        <w:rPr>
          <w:rFonts w:eastAsia="Times New Roman"/>
          <w:lang w:val="fr-FR"/>
        </w:rPr>
        <w:t xml:space="preserve"> 68, laquelle, afin de prévenir le risque de transmission de l</w:t>
      </w:r>
      <w:r w:rsidR="00874348" w:rsidRPr="00874348">
        <w:rPr>
          <w:rFonts w:eastAsia="Times New Roman"/>
          <w:lang w:val="fr-FR"/>
        </w:rPr>
        <w:t>’</w:t>
      </w:r>
      <w:r w:rsidRPr="00874348">
        <w:rPr>
          <w:rFonts w:eastAsia="Times New Roman"/>
          <w:lang w:val="fr-FR"/>
        </w:rPr>
        <w:t>hépatite B par voie de transfusion, a ordonné la recherche de l</w:t>
      </w:r>
      <w:r w:rsidR="00874348" w:rsidRPr="00874348">
        <w:rPr>
          <w:rFonts w:eastAsia="Times New Roman"/>
          <w:lang w:val="fr-FR"/>
        </w:rPr>
        <w:t>’</w:t>
      </w:r>
      <w:r w:rsidRPr="00874348">
        <w:rPr>
          <w:rFonts w:eastAsia="Times New Roman"/>
          <w:lang w:val="fr-FR"/>
        </w:rPr>
        <w:t>antigène de l</w:t>
      </w:r>
      <w:r w:rsidR="00874348" w:rsidRPr="00874348">
        <w:rPr>
          <w:rFonts w:eastAsia="Times New Roman"/>
          <w:lang w:val="fr-FR"/>
        </w:rPr>
        <w:t>’</w:t>
      </w:r>
      <w:r w:rsidRPr="00874348">
        <w:rPr>
          <w:rFonts w:eastAsia="Times New Roman"/>
          <w:lang w:val="fr-FR"/>
        </w:rPr>
        <w:t>hépatite B sur chaque don de sang et la destruction des lots de sang positifs à cet antigène.</w:t>
      </w:r>
    </w:p>
    <w:p w:rsidR="00506071" w:rsidRPr="00874348" w:rsidRDefault="00506071" w:rsidP="00874348">
      <w:pPr>
        <w:pStyle w:val="ECHRHeading2"/>
        <w:rPr>
          <w:rFonts w:eastAsia="Times New Roman"/>
          <w:lang w:val="fr-FR"/>
        </w:rPr>
      </w:pPr>
      <w:r w:rsidRPr="00874348">
        <w:rPr>
          <w:rFonts w:eastAsia="Times New Roman"/>
          <w:lang w:val="fr-FR"/>
        </w:rPr>
        <w:t>E.  Le décret-loi n</w:t>
      </w:r>
      <w:r w:rsidRPr="00874348">
        <w:rPr>
          <w:rFonts w:eastAsia="Times New Roman"/>
          <w:vertAlign w:val="superscript"/>
          <w:lang w:val="fr-FR"/>
        </w:rPr>
        <w:t>o</w:t>
      </w:r>
      <w:r w:rsidRPr="00874348">
        <w:rPr>
          <w:rFonts w:eastAsia="Times New Roman"/>
          <w:lang w:val="fr-FR"/>
        </w:rPr>
        <w:t xml:space="preserve"> 90 du 24 juin 2014 et la loi de conversion n</w:t>
      </w:r>
      <w:r w:rsidRPr="00874348">
        <w:rPr>
          <w:rFonts w:eastAsia="Times New Roman"/>
          <w:vertAlign w:val="superscript"/>
          <w:lang w:val="fr-FR"/>
        </w:rPr>
        <w:t>o</w:t>
      </w:r>
      <w:r w:rsidRPr="00874348">
        <w:rPr>
          <w:rFonts w:eastAsia="Times New Roman"/>
          <w:lang w:val="fr-FR"/>
        </w:rPr>
        <w:t xml:space="preserve"> 114 du 11 août 2014 – « Mesures urgentes en vue de la simplification et l</w:t>
      </w:r>
      <w:r w:rsidR="00313171" w:rsidRPr="00874348">
        <w:rPr>
          <w:rFonts w:eastAsia="Times New Roman"/>
          <w:lang w:val="fr-FR"/>
        </w:rPr>
        <w:t>a transparence administratives (</w:t>
      </w:r>
      <w:r w:rsidRPr="00874348">
        <w:rPr>
          <w:rFonts w:eastAsia="Times New Roman"/>
          <w:lang w:val="fr-FR"/>
        </w:rPr>
        <w:t>...</w:t>
      </w:r>
      <w:r w:rsidR="00313171" w:rsidRPr="00874348">
        <w:rPr>
          <w:rFonts w:eastAsia="Times New Roman"/>
          <w:lang w:val="fr-FR"/>
        </w:rPr>
        <w:t>)</w:t>
      </w:r>
      <w:r w:rsidRPr="00874348">
        <w:rPr>
          <w:rFonts w:eastAsia="Times New Roman"/>
          <w:lang w:val="fr-FR"/>
        </w:rPr>
        <w:t> »</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43</w:t>
      </w:r>
      <w:r w:rsidRPr="00874348">
        <w:rPr>
          <w:rFonts w:eastAsia="Times New Roman"/>
          <w:lang w:val="fr-FR"/>
        </w:rPr>
        <w:fldChar w:fldCharType="end"/>
      </w:r>
      <w:r w:rsidRPr="00874348">
        <w:rPr>
          <w:rFonts w:eastAsia="Times New Roman"/>
          <w:lang w:val="fr-FR"/>
        </w:rPr>
        <w:t>.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de ce décret-loi prévoit la possibilité de dédommager les personnes ayant subi un préjudice dérivant de la transfusion de sang infecté, de l</w:t>
      </w:r>
      <w:r w:rsidR="00874348" w:rsidRPr="00874348">
        <w:rPr>
          <w:rFonts w:eastAsia="Times New Roman"/>
          <w:lang w:val="fr-FR"/>
        </w:rPr>
        <w:t>’</w:t>
      </w:r>
      <w:r w:rsidRPr="00874348">
        <w:rPr>
          <w:rFonts w:eastAsia="Times New Roman"/>
          <w:lang w:val="fr-FR"/>
        </w:rPr>
        <w:t>administration de produits infectés dérivés du sang ou des vaccinations obligatoires. Le texte de cet article se lit ainsi :</w:t>
      </w:r>
    </w:p>
    <w:p w:rsidR="00506071" w:rsidRPr="00874348" w:rsidRDefault="006565C8" w:rsidP="00874348">
      <w:pPr>
        <w:pStyle w:val="ECHRParaQuote"/>
        <w:rPr>
          <w:rFonts w:eastAsia="Times New Roman"/>
          <w:lang w:val="fr-FR"/>
        </w:rPr>
      </w:pPr>
      <w:r w:rsidRPr="00874348">
        <w:rPr>
          <w:rFonts w:eastAsia="Times New Roman"/>
          <w:lang w:val="fr-FR"/>
        </w:rPr>
        <w:t>« 1.  </w:t>
      </w:r>
      <w:r w:rsidR="00506071" w:rsidRPr="00874348">
        <w:rPr>
          <w:rFonts w:eastAsia="Times New Roman"/>
          <w:lang w:val="fr-FR"/>
        </w:rPr>
        <w:t>Les personnes mentionnées à l</w:t>
      </w:r>
      <w:r w:rsidR="00874348" w:rsidRPr="00874348">
        <w:rPr>
          <w:rFonts w:eastAsia="Times New Roman"/>
          <w:lang w:val="fr-FR"/>
        </w:rPr>
        <w:t>’</w:t>
      </w:r>
      <w:r w:rsidR="00506071" w:rsidRPr="00874348">
        <w:rPr>
          <w:rFonts w:eastAsia="Times New Roman"/>
          <w:lang w:val="fr-FR"/>
        </w:rPr>
        <w:t>article 2, alinéa 361, de la loi n</w:t>
      </w:r>
      <w:r w:rsidR="00506071" w:rsidRPr="00874348">
        <w:rPr>
          <w:rFonts w:eastAsia="Times New Roman"/>
          <w:vertAlign w:val="superscript"/>
          <w:lang w:val="fr-FR"/>
        </w:rPr>
        <w:t>o</w:t>
      </w:r>
      <w:r w:rsidR="00506071" w:rsidRPr="00874348">
        <w:rPr>
          <w:rFonts w:eastAsia="Times New Roman"/>
          <w:lang w:val="fr-FR"/>
        </w:rPr>
        <w:t xml:space="preserve"> 244 du 24 décembre 2007, ayant présenté une demande d</w:t>
      </w:r>
      <w:r w:rsidR="00874348" w:rsidRPr="00874348">
        <w:rPr>
          <w:rFonts w:eastAsia="Times New Roman"/>
          <w:lang w:val="fr-FR"/>
        </w:rPr>
        <w:t>’</w:t>
      </w:r>
      <w:r w:rsidR="00506071" w:rsidRPr="00874348">
        <w:rPr>
          <w:rFonts w:eastAsia="Times New Roman"/>
          <w:lang w:val="fr-FR"/>
        </w:rPr>
        <w:t>adhésion aux règlements à l</w:t>
      </w:r>
      <w:r w:rsidR="00874348" w:rsidRPr="00874348">
        <w:rPr>
          <w:rFonts w:eastAsia="Times New Roman"/>
          <w:lang w:val="fr-FR"/>
        </w:rPr>
        <w:t>’</w:t>
      </w:r>
      <w:r w:rsidR="00506071" w:rsidRPr="00874348">
        <w:rPr>
          <w:rFonts w:eastAsia="Times New Roman"/>
          <w:lang w:val="fr-FR"/>
        </w:rPr>
        <w:t>amiable au plus tard le 19 janvier 2010, ainsi que leurs héritiers, dans le cas où la personne soit décédée au cours de la procédure, sont destinataires, à titre de satisfaction équitable, d</w:t>
      </w:r>
      <w:r w:rsidR="00874348" w:rsidRPr="00874348">
        <w:rPr>
          <w:rFonts w:eastAsia="Times New Roman"/>
          <w:lang w:val="fr-FR"/>
        </w:rPr>
        <w:t>’</w:t>
      </w:r>
      <w:r w:rsidR="00506071" w:rsidRPr="00874348">
        <w:rPr>
          <w:rFonts w:eastAsia="Times New Roman"/>
          <w:lang w:val="fr-FR"/>
        </w:rPr>
        <w:t>un montant de 100 000 EUR, concernant les personnes ayant subi un préjudice dérivant de la transfusion de sang infecté et de l</w:t>
      </w:r>
      <w:r w:rsidR="00874348" w:rsidRPr="00874348">
        <w:rPr>
          <w:rFonts w:eastAsia="Times New Roman"/>
          <w:lang w:val="fr-FR"/>
        </w:rPr>
        <w:t>’</w:t>
      </w:r>
      <w:r w:rsidR="00506071" w:rsidRPr="00874348">
        <w:rPr>
          <w:rFonts w:eastAsia="Times New Roman"/>
          <w:lang w:val="fr-FR"/>
        </w:rPr>
        <w:t>administration de produits infectés dérivés du sang, et 20 000 EUR, quant aux personnes ayant subi un préjudice dérivant des vaccinations obligatoires. En vue de l</w:t>
      </w:r>
      <w:r w:rsidR="00874348" w:rsidRPr="00874348">
        <w:rPr>
          <w:rFonts w:eastAsia="Times New Roman"/>
          <w:lang w:val="fr-FR"/>
        </w:rPr>
        <w:t>’</w:t>
      </w:r>
      <w:r w:rsidR="00506071" w:rsidRPr="00874348">
        <w:rPr>
          <w:rFonts w:eastAsia="Times New Roman"/>
          <w:lang w:val="fr-FR"/>
        </w:rPr>
        <w:t xml:space="preserve">octroi de ces sommes, les </w:t>
      </w:r>
      <w:r w:rsidR="00506071" w:rsidRPr="00874348">
        <w:rPr>
          <w:rFonts w:eastAsia="Times New Roman"/>
          <w:lang w:val="fr-FR"/>
        </w:rPr>
        <w:lastRenderedPageBreak/>
        <w:t>conditions prévues par l</w:t>
      </w:r>
      <w:r w:rsidR="00874348" w:rsidRPr="00874348">
        <w:rPr>
          <w:rFonts w:eastAsia="Times New Roman"/>
          <w:lang w:val="fr-FR"/>
        </w:rPr>
        <w:t>’</w:t>
      </w:r>
      <w:r w:rsidR="00506071" w:rsidRPr="00874348">
        <w:rPr>
          <w:rFonts w:eastAsia="Times New Roman"/>
          <w:lang w:val="fr-FR"/>
        </w:rPr>
        <w:t>article 2, alinéa 1 a) et b) du règlement établi dans le décret du ministère du Travail, de la Santé et des Politiques Sociales n</w:t>
      </w:r>
      <w:r w:rsidR="00506071" w:rsidRPr="00874348">
        <w:rPr>
          <w:rFonts w:eastAsia="Times New Roman"/>
          <w:vertAlign w:val="superscript"/>
          <w:lang w:val="fr-FR"/>
        </w:rPr>
        <w:t>o</w:t>
      </w:r>
      <w:r w:rsidR="00506071" w:rsidRPr="00874348">
        <w:rPr>
          <w:rFonts w:eastAsia="Times New Roman"/>
          <w:lang w:val="fr-FR"/>
        </w:rPr>
        <w:t xml:space="preserve"> 132 du 28 avril 2009, doivent être remplies et la demande doit être recevable. La liquidation de ces sommes est effectuée au plus tard le 31 décembre 2017 sur la base du critère de la gravité de l</w:t>
      </w:r>
      <w:r w:rsidR="00874348" w:rsidRPr="00874348">
        <w:rPr>
          <w:rFonts w:eastAsia="Times New Roman"/>
          <w:lang w:val="fr-FR"/>
        </w:rPr>
        <w:t>’</w:t>
      </w:r>
      <w:r w:rsidR="00506071" w:rsidRPr="00874348">
        <w:rPr>
          <w:rFonts w:eastAsia="Times New Roman"/>
          <w:lang w:val="fr-FR"/>
        </w:rPr>
        <w:t>infirmité des ayants droit et, en cas de parité, suivant la gravité des difficultés financières, vérifiée selon les modalités prévues par le décret du Président du Conseil des Ministres n</w:t>
      </w:r>
      <w:r w:rsidR="00506071" w:rsidRPr="00874348">
        <w:rPr>
          <w:rFonts w:eastAsia="Times New Roman"/>
          <w:vertAlign w:val="superscript"/>
          <w:lang w:val="fr-FR"/>
        </w:rPr>
        <w:t>o</w:t>
      </w:r>
      <w:r w:rsidR="00506071" w:rsidRPr="00874348">
        <w:rPr>
          <w:rFonts w:eastAsia="Times New Roman"/>
          <w:lang w:val="fr-FR"/>
        </w:rPr>
        <w:t xml:space="preserve"> 159 du 5 décembre 2013, dans la limite de la disponibilité du budget annuel.</w:t>
      </w:r>
    </w:p>
    <w:p w:rsidR="00506071" w:rsidRPr="00874348" w:rsidRDefault="00506071" w:rsidP="00874348">
      <w:pPr>
        <w:pStyle w:val="ECHRParaQuote"/>
        <w:rPr>
          <w:rFonts w:eastAsia="Times New Roman"/>
          <w:lang w:val="fr-FR"/>
        </w:rPr>
      </w:pPr>
      <w:r w:rsidRPr="00874348">
        <w:rPr>
          <w:rFonts w:eastAsia="Times New Roman"/>
          <w:lang w:val="fr-FR"/>
        </w:rPr>
        <w:t>2.</w:t>
      </w:r>
      <w:r w:rsidR="006565C8" w:rsidRPr="00874348">
        <w:rPr>
          <w:rFonts w:eastAsia="Times New Roman"/>
          <w:lang w:val="fr-FR"/>
        </w:rPr>
        <w:t>  </w:t>
      </w:r>
      <w:r w:rsidRPr="00874348">
        <w:rPr>
          <w:rFonts w:eastAsia="Times New Roman"/>
          <w:lang w:val="fr-FR"/>
        </w:rPr>
        <w:t>Exception faite pour l</w:t>
      </w:r>
      <w:r w:rsidR="00874348" w:rsidRPr="00874348">
        <w:rPr>
          <w:rFonts w:eastAsia="Times New Roman"/>
          <w:lang w:val="fr-FR"/>
        </w:rPr>
        <w:t>’</w:t>
      </w:r>
      <w:r w:rsidRPr="00874348">
        <w:rPr>
          <w:rFonts w:eastAsia="Times New Roman"/>
          <w:lang w:val="fr-FR"/>
        </w:rPr>
        <w:t>hypothèse prévue à l</w:t>
      </w:r>
      <w:r w:rsidR="00874348" w:rsidRPr="00874348">
        <w:rPr>
          <w:rFonts w:eastAsia="Times New Roman"/>
          <w:lang w:val="fr-FR"/>
        </w:rPr>
        <w:t>’</w:t>
      </w:r>
      <w:r w:rsidRPr="00874348">
        <w:rPr>
          <w:rFonts w:eastAsia="Times New Roman"/>
          <w:lang w:val="fr-FR"/>
        </w:rPr>
        <w:t>alinéa 3, le paiement des sommes prévues à l</w:t>
      </w:r>
      <w:r w:rsidR="00874348" w:rsidRPr="00874348">
        <w:rPr>
          <w:rFonts w:eastAsia="Times New Roman"/>
          <w:lang w:val="fr-FR"/>
        </w:rPr>
        <w:t>’</w:t>
      </w:r>
      <w:r w:rsidRPr="00874348">
        <w:rPr>
          <w:rFonts w:eastAsia="Times New Roman"/>
          <w:lang w:val="fr-FR"/>
        </w:rPr>
        <w:t>alinéa 1 est subordonné à la renonciation formelle aux actions en dédommagement entamées, y compris les procédures de transaction, ainsi qu</w:t>
      </w:r>
      <w:r w:rsidR="00874348" w:rsidRPr="00874348">
        <w:rPr>
          <w:rFonts w:eastAsia="Times New Roman"/>
          <w:lang w:val="fr-FR"/>
        </w:rPr>
        <w:t>’</w:t>
      </w:r>
      <w:r w:rsidRPr="00874348">
        <w:rPr>
          <w:rFonts w:eastAsia="Times New Roman"/>
          <w:lang w:val="fr-FR"/>
        </w:rPr>
        <w:t>à toute prétention ultérieure ayant nature de réparation du préjudice subi à l</w:t>
      </w:r>
      <w:r w:rsidR="00874348" w:rsidRPr="00874348">
        <w:rPr>
          <w:rFonts w:eastAsia="Times New Roman"/>
          <w:lang w:val="fr-FR"/>
        </w:rPr>
        <w:t>’</w:t>
      </w:r>
      <w:r w:rsidRPr="00874348">
        <w:rPr>
          <w:rFonts w:eastAsia="Times New Roman"/>
          <w:lang w:val="fr-FR"/>
        </w:rPr>
        <w:t>encontre de l</w:t>
      </w:r>
      <w:r w:rsidR="00874348" w:rsidRPr="00874348">
        <w:rPr>
          <w:rFonts w:eastAsia="Times New Roman"/>
          <w:lang w:val="fr-FR"/>
        </w:rPr>
        <w:t>’</w:t>
      </w:r>
      <w:r w:rsidRPr="00874348">
        <w:rPr>
          <w:rFonts w:eastAsia="Times New Roman"/>
          <w:lang w:val="fr-FR"/>
        </w:rPr>
        <w:t>État, y compris au niveau international. Le payement est effectué après la soustraction du montant déjà reçu au titre de réparation du préjudice subi à la suite d</w:t>
      </w:r>
      <w:r w:rsidR="00874348" w:rsidRPr="00874348">
        <w:rPr>
          <w:rFonts w:eastAsia="Times New Roman"/>
          <w:lang w:val="fr-FR"/>
        </w:rPr>
        <w:t>’</w:t>
      </w:r>
      <w:r w:rsidRPr="00874348">
        <w:rPr>
          <w:rFonts w:eastAsia="Times New Roman"/>
          <w:lang w:val="fr-FR"/>
        </w:rPr>
        <w:t>une décision exécutoire.</w:t>
      </w:r>
    </w:p>
    <w:p w:rsidR="00506071" w:rsidRPr="00874348" w:rsidRDefault="006565C8" w:rsidP="00874348">
      <w:pPr>
        <w:pStyle w:val="ECHRParaQuote"/>
        <w:rPr>
          <w:rFonts w:eastAsia="Times New Roman"/>
          <w:lang w:val="fr-FR"/>
        </w:rPr>
      </w:pPr>
      <w:r w:rsidRPr="00874348">
        <w:rPr>
          <w:rFonts w:eastAsia="Times New Roman"/>
          <w:lang w:val="fr-FR"/>
        </w:rPr>
        <w:t>3.  </w:t>
      </w:r>
      <w:r w:rsidR="00506071" w:rsidRPr="00874348">
        <w:rPr>
          <w:rFonts w:eastAsia="Times New Roman"/>
          <w:lang w:val="fr-FR"/>
        </w:rPr>
        <w:t>La procédure de transaction prévue à l</w:t>
      </w:r>
      <w:r w:rsidR="00874348" w:rsidRPr="00874348">
        <w:rPr>
          <w:rFonts w:eastAsia="Times New Roman"/>
          <w:lang w:val="fr-FR"/>
        </w:rPr>
        <w:t>’</w:t>
      </w:r>
      <w:r w:rsidR="00506071" w:rsidRPr="00874348">
        <w:rPr>
          <w:rFonts w:eastAsia="Times New Roman"/>
          <w:lang w:val="fr-FR"/>
        </w:rPr>
        <w:t>article 2, alinéa 361, de la loi n</w:t>
      </w:r>
      <w:r w:rsidR="00506071" w:rsidRPr="00874348">
        <w:rPr>
          <w:rFonts w:eastAsia="Times New Roman"/>
          <w:vertAlign w:val="superscript"/>
          <w:lang w:val="fr-FR"/>
        </w:rPr>
        <w:t>o</w:t>
      </w:r>
      <w:r w:rsidR="00506071" w:rsidRPr="00874348">
        <w:rPr>
          <w:rFonts w:eastAsia="Times New Roman"/>
          <w:lang w:val="fr-FR"/>
        </w:rPr>
        <w:t xml:space="preserve"> 244 du 24 décembre 2007 continue pour les sujets qui n</w:t>
      </w:r>
      <w:r w:rsidR="00874348" w:rsidRPr="00874348">
        <w:rPr>
          <w:rFonts w:eastAsia="Times New Roman"/>
          <w:lang w:val="fr-FR"/>
        </w:rPr>
        <w:t>’</w:t>
      </w:r>
      <w:r w:rsidR="00506071" w:rsidRPr="00874348">
        <w:rPr>
          <w:rFonts w:eastAsia="Times New Roman"/>
          <w:lang w:val="fr-FR"/>
        </w:rPr>
        <w:t>entendent pas se prévaloir du montant prévu à l</w:t>
      </w:r>
      <w:r w:rsidR="00874348" w:rsidRPr="00874348">
        <w:rPr>
          <w:rFonts w:eastAsia="Times New Roman"/>
          <w:lang w:val="fr-FR"/>
        </w:rPr>
        <w:t>’</w:t>
      </w:r>
      <w:r w:rsidR="00506071" w:rsidRPr="00874348">
        <w:rPr>
          <w:rFonts w:eastAsia="Times New Roman"/>
          <w:lang w:val="fr-FR"/>
        </w:rPr>
        <w:t>alinéa 1 de cet article. Les modèles de transaction annexés au décret du ministère de la Santé du 4 mai 2012, publié au Journal Officiel n</w:t>
      </w:r>
      <w:r w:rsidR="00506071" w:rsidRPr="00874348">
        <w:rPr>
          <w:rFonts w:eastAsia="Times New Roman"/>
          <w:vertAlign w:val="superscript"/>
          <w:lang w:val="fr-FR"/>
        </w:rPr>
        <w:t>o</w:t>
      </w:r>
      <w:r w:rsidR="00506071" w:rsidRPr="00874348">
        <w:rPr>
          <w:rFonts w:eastAsia="Times New Roman"/>
          <w:lang w:val="fr-FR"/>
        </w:rPr>
        <w:t xml:space="preserve"> 162 du 13 juillet 2012 sont utilisés dans ces cas.</w:t>
      </w:r>
    </w:p>
    <w:p w:rsidR="00506071" w:rsidRPr="00874348" w:rsidRDefault="006565C8" w:rsidP="00874348">
      <w:pPr>
        <w:pStyle w:val="ECHRParaQuote"/>
        <w:rPr>
          <w:rFonts w:eastAsia="Times New Roman"/>
          <w:lang w:val="fr-FR"/>
        </w:rPr>
      </w:pPr>
      <w:r w:rsidRPr="00874348">
        <w:rPr>
          <w:rFonts w:eastAsia="Times New Roman"/>
          <w:lang w:val="fr-FR"/>
        </w:rPr>
        <w:t>4.  </w:t>
      </w:r>
      <w:r w:rsidR="00506071" w:rsidRPr="00874348">
        <w:rPr>
          <w:rFonts w:eastAsia="Times New Roman"/>
          <w:lang w:val="fr-FR"/>
        </w:rPr>
        <w:t>Les charges établies dans le premier alinéa seront engagées dans les limites des ressources financières disponibles sur la base de la législation en vigueur et inscrites dans l</w:t>
      </w:r>
      <w:r w:rsidR="00874348" w:rsidRPr="00874348">
        <w:rPr>
          <w:rFonts w:eastAsia="Times New Roman"/>
          <w:lang w:val="fr-FR"/>
        </w:rPr>
        <w:t>’</w:t>
      </w:r>
      <w:r w:rsidR="00506071" w:rsidRPr="00874348">
        <w:rPr>
          <w:rFonts w:eastAsia="Times New Roman"/>
          <w:lang w:val="fr-FR"/>
        </w:rPr>
        <w:t>état de prévision du ministère de la Santé, selon l</w:t>
      </w:r>
      <w:r w:rsidR="00874348" w:rsidRPr="00874348">
        <w:rPr>
          <w:rFonts w:eastAsia="Times New Roman"/>
          <w:lang w:val="fr-FR"/>
        </w:rPr>
        <w:t>’</w:t>
      </w:r>
      <w:r w:rsidR="00506071" w:rsidRPr="00874348">
        <w:rPr>
          <w:rFonts w:eastAsia="Times New Roman"/>
          <w:lang w:val="fr-FR"/>
        </w:rPr>
        <w:t>article 2, alinéa 361 de la loi n</w:t>
      </w:r>
      <w:r w:rsidR="00506071" w:rsidRPr="00874348">
        <w:rPr>
          <w:rFonts w:eastAsia="Times New Roman"/>
          <w:vertAlign w:val="superscript"/>
          <w:lang w:val="fr-FR"/>
        </w:rPr>
        <w:t>o</w:t>
      </w:r>
      <w:r w:rsidR="00506071" w:rsidRPr="00874348">
        <w:rPr>
          <w:rFonts w:eastAsia="Times New Roman"/>
          <w:lang w:val="fr-FR"/>
        </w:rPr>
        <w:t xml:space="preserve"> 244 du 24 décembre 2007. »</w:t>
      </w:r>
    </w:p>
    <w:p w:rsidR="00506071" w:rsidRPr="00874348" w:rsidRDefault="00506071" w:rsidP="00874348">
      <w:pPr>
        <w:pStyle w:val="ECHRHeading2"/>
        <w:rPr>
          <w:rFonts w:eastAsia="Times New Roman"/>
          <w:lang w:val="fr-FR"/>
        </w:rPr>
      </w:pPr>
      <w:r w:rsidRPr="00874348">
        <w:rPr>
          <w:rFonts w:eastAsia="Times New Roman"/>
          <w:lang w:val="fr-FR"/>
        </w:rPr>
        <w:t>F.  Article 282 du code de procédure civile</w:t>
      </w:r>
    </w:p>
    <w:p w:rsidR="00506071" w:rsidRPr="00874348" w:rsidRDefault="00506071" w:rsidP="00874348">
      <w:pPr>
        <w:pStyle w:val="ECHRParaQuote"/>
        <w:rPr>
          <w:rFonts w:eastAsia="Times New Roman"/>
          <w:lang w:val="fr-FR"/>
        </w:rPr>
      </w:pPr>
      <w:r w:rsidRPr="00874348">
        <w:rPr>
          <w:rFonts w:eastAsia="Times New Roman"/>
          <w:lang w:val="fr-FR"/>
        </w:rPr>
        <w:t>« Le jugement de première instance est provisoirement exécutoire entre les parties. »</w:t>
      </w:r>
    </w:p>
    <w:p w:rsidR="00506071" w:rsidRPr="00874348" w:rsidRDefault="00506071" w:rsidP="00874348">
      <w:pPr>
        <w:pStyle w:val="ECHRTitle1"/>
        <w:rPr>
          <w:rFonts w:eastAsia="Times New Roman"/>
          <w:lang w:val="fr-FR"/>
        </w:rPr>
      </w:pPr>
      <w:r w:rsidRPr="00874348">
        <w:rPr>
          <w:rFonts w:eastAsia="Times New Roman"/>
          <w:lang w:val="fr-FR"/>
        </w:rPr>
        <w:t>EN DROIT</w:t>
      </w:r>
    </w:p>
    <w:p w:rsidR="00506071" w:rsidRPr="00874348" w:rsidRDefault="006565C8" w:rsidP="00874348">
      <w:pPr>
        <w:pStyle w:val="ECHRHeading1"/>
        <w:rPr>
          <w:rFonts w:eastAsia="Times New Roman"/>
          <w:lang w:val="fr-FR"/>
        </w:rPr>
      </w:pPr>
      <w:r w:rsidRPr="00874348">
        <w:rPr>
          <w:rFonts w:eastAsia="Times New Roman"/>
          <w:lang w:val="fr-FR"/>
        </w:rPr>
        <w:t>I.  </w:t>
      </w:r>
      <w:r w:rsidR="00506071" w:rsidRPr="00874348">
        <w:rPr>
          <w:rFonts w:eastAsia="Times New Roman"/>
          <w:lang w:val="fr-FR"/>
        </w:rPr>
        <w:t>JONCTION DES REQUÊTES</w:t>
      </w:r>
    </w:p>
    <w:p w:rsidR="00506071" w:rsidRPr="00874348" w:rsidRDefault="00506071" w:rsidP="00874348">
      <w:pPr>
        <w:pStyle w:val="ECHRPara"/>
        <w:rPr>
          <w:lang w:val="fr-FR"/>
        </w:rPr>
      </w:pPr>
      <w:r w:rsidRPr="00874348">
        <w:rPr>
          <w:lang w:val="fr-FR"/>
        </w:rPr>
        <w:fldChar w:fldCharType="begin"/>
      </w:r>
      <w:r w:rsidRPr="00874348">
        <w:rPr>
          <w:lang w:val="fr-FR"/>
        </w:rPr>
        <w:instrText xml:space="preserve"> SEQ level0 \*arabic </w:instrText>
      </w:r>
      <w:r w:rsidRPr="00874348">
        <w:rPr>
          <w:lang w:val="fr-FR"/>
        </w:rPr>
        <w:fldChar w:fldCharType="separate"/>
      </w:r>
      <w:r w:rsidR="00874348" w:rsidRPr="00874348">
        <w:rPr>
          <w:noProof/>
          <w:lang w:val="fr-FR"/>
        </w:rPr>
        <w:t>44</w:t>
      </w:r>
      <w:r w:rsidRPr="00874348">
        <w:rPr>
          <w:lang w:val="fr-FR"/>
        </w:rPr>
        <w:fldChar w:fldCharType="end"/>
      </w:r>
      <w:r w:rsidRPr="00874348">
        <w:rPr>
          <w:lang w:val="fr-FR"/>
        </w:rPr>
        <w:t>.  Compte tenu de la connexité des requêtes quant aux faits et aux questions de fond qu</w:t>
      </w:r>
      <w:r w:rsidR="00874348" w:rsidRPr="00874348">
        <w:rPr>
          <w:lang w:val="fr-FR"/>
        </w:rPr>
        <w:t>’</w:t>
      </w:r>
      <w:r w:rsidRPr="00874348">
        <w:rPr>
          <w:lang w:val="fr-FR"/>
        </w:rPr>
        <w:t>elles posent, la Cour juge approprié de les joindre, en application de l</w:t>
      </w:r>
      <w:r w:rsidR="00874348" w:rsidRPr="00874348">
        <w:rPr>
          <w:lang w:val="fr-FR"/>
        </w:rPr>
        <w:t>’</w:t>
      </w:r>
      <w:r w:rsidRPr="00874348">
        <w:rPr>
          <w:lang w:val="fr-FR"/>
        </w:rPr>
        <w:t>article 42 § 1 de son règlement.</w:t>
      </w:r>
    </w:p>
    <w:p w:rsidR="00506071" w:rsidRPr="00874348" w:rsidRDefault="00506071" w:rsidP="00874348">
      <w:pPr>
        <w:pStyle w:val="ECHRHeading1"/>
        <w:rPr>
          <w:rFonts w:eastAsia="Times New Roman"/>
          <w:lang w:val="fr-FR"/>
        </w:rPr>
      </w:pPr>
      <w:r w:rsidRPr="00874348">
        <w:rPr>
          <w:rFonts w:eastAsia="Times New Roman"/>
          <w:lang w:val="fr-FR"/>
        </w:rPr>
        <w:lastRenderedPageBreak/>
        <w:t>II.  SUR L</w:t>
      </w:r>
      <w:r w:rsidR="00874348" w:rsidRPr="00874348">
        <w:rPr>
          <w:rFonts w:eastAsia="Times New Roman"/>
          <w:lang w:val="fr-FR"/>
        </w:rPr>
        <w:t>’</w:t>
      </w:r>
      <w:r w:rsidRPr="00874348">
        <w:rPr>
          <w:rFonts w:eastAsia="Times New Roman"/>
          <w:lang w:val="fr-FR"/>
        </w:rPr>
        <w:t>INEXÉCUTION DES JUGEMENTS DEFINITIFS ET LA DURÉE DE LA PROCÉDURE EN RÈGLEMENT AMIABLE CONCERNANT DOUZE REQUÉRANTS (REQUÊTE N</w:t>
      </w:r>
      <w:r w:rsidRPr="00874348">
        <w:rPr>
          <w:rFonts w:eastAsia="Times New Roman"/>
          <w:vertAlign w:val="superscript"/>
          <w:lang w:val="fr-FR"/>
        </w:rPr>
        <w:t>o</w:t>
      </w:r>
      <w:r w:rsidRPr="00874348">
        <w:rPr>
          <w:rFonts w:eastAsia="Times New Roman"/>
          <w:lang w:val="fr-FR"/>
        </w:rPr>
        <w:t> 8154/12)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45</w:t>
      </w:r>
      <w:r w:rsidRPr="00874348">
        <w:rPr>
          <w:rFonts w:eastAsia="Times New Roman"/>
          <w:lang w:val="fr-FR"/>
        </w:rPr>
        <w:fldChar w:fldCharType="end"/>
      </w:r>
      <w:r w:rsidRPr="00874348">
        <w:rPr>
          <w:rFonts w:eastAsia="Times New Roman"/>
          <w:lang w:val="fr-FR"/>
        </w:rPr>
        <w:t>.  Sous l</w:t>
      </w:r>
      <w:r w:rsidR="00874348" w:rsidRPr="00874348">
        <w:rPr>
          <w:rFonts w:eastAsia="Times New Roman"/>
          <w:lang w:val="fr-FR"/>
        </w:rPr>
        <w:t>’</w:t>
      </w:r>
      <w:r w:rsidRPr="00874348">
        <w:rPr>
          <w:rFonts w:eastAsia="Times New Roman"/>
          <w:lang w:val="fr-FR"/>
        </w:rPr>
        <w:t>angle des articles 6 § 1 de la Convention et 1 du Protocole n</w:t>
      </w:r>
      <w:r w:rsidRPr="00874348">
        <w:rPr>
          <w:rFonts w:eastAsia="Times New Roman"/>
          <w:vertAlign w:val="superscript"/>
          <w:lang w:val="fr-FR"/>
        </w:rPr>
        <w:t>o</w:t>
      </w:r>
      <w:r w:rsidRPr="00874348">
        <w:rPr>
          <w:rFonts w:eastAsia="Times New Roman"/>
          <w:lang w:val="fr-FR"/>
        </w:rPr>
        <w:t> 1, douze requérants faisant partie de la requête n</w:t>
      </w:r>
      <w:r w:rsidRPr="00874348">
        <w:rPr>
          <w:rFonts w:eastAsia="Times New Roman"/>
          <w:vertAlign w:val="superscript"/>
          <w:lang w:val="fr-FR"/>
        </w:rPr>
        <w:t>o</w:t>
      </w:r>
      <w:r w:rsidRPr="00874348">
        <w:rPr>
          <w:rFonts w:eastAsia="Times New Roman"/>
          <w:lang w:val="fr-FR"/>
        </w:rPr>
        <w:t xml:space="preserve"> 8154/12</w:t>
      </w:r>
      <w:r w:rsidRPr="00874348">
        <w:rPr>
          <w:rFonts w:eastAsia="Times New Roman"/>
          <w:vertAlign w:val="superscript"/>
          <w:lang w:val="fr-FR"/>
        </w:rPr>
        <w:footnoteReference w:id="6"/>
      </w:r>
      <w:r w:rsidRPr="00874348">
        <w:rPr>
          <w:rFonts w:eastAsia="Times New Roman"/>
          <w:lang w:val="fr-FR"/>
        </w:rPr>
        <w:t xml:space="preserve"> reprochent au Gouvernement de ne pas avoir exécuté les décisions judiciaires ayant condamné le ministère de la Santé à leu</w:t>
      </w:r>
      <w:r w:rsidR="00313171" w:rsidRPr="00874348">
        <w:rPr>
          <w:rFonts w:eastAsia="Times New Roman"/>
          <w:lang w:val="fr-FR"/>
        </w:rPr>
        <w:t>r dédommagement (paragraphes 20</w:t>
      </w:r>
      <w:r w:rsidR="00313171" w:rsidRPr="00874348">
        <w:rPr>
          <w:rFonts w:eastAsia="Times New Roman"/>
          <w:lang w:val="fr-FR"/>
        </w:rPr>
        <w:noBreakHyphen/>
      </w:r>
      <w:r w:rsidRPr="00874348">
        <w:rPr>
          <w:rFonts w:eastAsia="Times New Roman"/>
          <w:lang w:val="fr-FR"/>
        </w:rPr>
        <w:t>22 ci-dessus).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46</w:t>
      </w:r>
      <w:r w:rsidRPr="00874348">
        <w:rPr>
          <w:rFonts w:eastAsia="Times New Roman"/>
          <w:lang w:val="fr-FR"/>
        </w:rPr>
        <w:fldChar w:fldCharType="end"/>
      </w:r>
      <w:r w:rsidRPr="00874348">
        <w:rPr>
          <w:rFonts w:eastAsia="Times New Roman"/>
          <w:lang w:val="fr-FR"/>
        </w:rPr>
        <w:t>.  Sous l</w:t>
      </w:r>
      <w:r w:rsidR="00874348" w:rsidRPr="00874348">
        <w:rPr>
          <w:rFonts w:eastAsia="Times New Roman"/>
          <w:lang w:val="fr-FR"/>
        </w:rPr>
        <w:t>’</w:t>
      </w:r>
      <w:r w:rsidRPr="00874348">
        <w:rPr>
          <w:rFonts w:eastAsia="Times New Roman"/>
          <w:lang w:val="fr-FR"/>
        </w:rPr>
        <w:t>angle du volet procédural de l</w:t>
      </w:r>
      <w:r w:rsidR="00874348" w:rsidRPr="00874348">
        <w:rPr>
          <w:rFonts w:eastAsia="Times New Roman"/>
          <w:lang w:val="fr-FR"/>
        </w:rPr>
        <w:t>’</w:t>
      </w:r>
      <w:r w:rsidRPr="00874348">
        <w:rPr>
          <w:rFonts w:eastAsia="Times New Roman"/>
          <w:lang w:val="fr-FR"/>
        </w:rPr>
        <w:t>article 2 de la Convention, ces douze requérants (comme tous les autres requérants de la requête n</w:t>
      </w:r>
      <w:r w:rsidRPr="00874348">
        <w:rPr>
          <w:rFonts w:eastAsia="Times New Roman"/>
          <w:vertAlign w:val="superscript"/>
          <w:lang w:val="fr-FR"/>
        </w:rPr>
        <w:t>o</w:t>
      </w:r>
      <w:r w:rsidRPr="00874348">
        <w:rPr>
          <w:rFonts w:eastAsia="Times New Roman"/>
          <w:lang w:val="fr-FR"/>
        </w:rPr>
        <w:t> 8154/12) se plaignent de la durée des procédures en règlement amiable de leurs affaires.</w:t>
      </w:r>
    </w:p>
    <w:p w:rsidR="00506071" w:rsidRPr="00874348" w:rsidRDefault="00506071" w:rsidP="00874348">
      <w:pPr>
        <w:pStyle w:val="ECHRPara"/>
        <w:rPr>
          <w:rFonts w:ascii="Times New Roman" w:eastAsia="Times New Roman" w:hAnsi="Times New Roman" w:cs="Times New Roman"/>
          <w:lang w:val="fr-FR"/>
        </w:rPr>
      </w:pPr>
      <w:r w:rsidRPr="00874348">
        <w:rPr>
          <w:rFonts w:ascii="Times New Roman" w:eastAsia="Times New Roman" w:hAnsi="Times New Roman" w:cs="Times New Roman"/>
          <w:lang w:val="fr-FR"/>
        </w:rPr>
        <w:fldChar w:fldCharType="begin"/>
      </w:r>
      <w:r w:rsidRPr="00874348">
        <w:rPr>
          <w:rFonts w:ascii="Times New Roman" w:eastAsia="Times New Roman" w:hAnsi="Times New Roman" w:cs="Times New Roman"/>
          <w:lang w:val="fr-FR"/>
        </w:rPr>
        <w:instrText xml:space="preserve"> SEQ level0 \*arabic </w:instrText>
      </w:r>
      <w:r w:rsidRPr="00874348">
        <w:rPr>
          <w:rFonts w:ascii="Times New Roman" w:eastAsia="Times New Roman" w:hAnsi="Times New Roman" w:cs="Times New Roman"/>
          <w:lang w:val="fr-FR"/>
        </w:rPr>
        <w:fldChar w:fldCharType="separate"/>
      </w:r>
      <w:r w:rsidR="00874348" w:rsidRPr="00874348">
        <w:rPr>
          <w:rFonts w:ascii="Times New Roman" w:eastAsia="Times New Roman" w:hAnsi="Times New Roman" w:cs="Times New Roman"/>
          <w:noProof/>
          <w:lang w:val="fr-FR"/>
        </w:rPr>
        <w:t>47</w:t>
      </w:r>
      <w:r w:rsidRPr="00874348">
        <w:rPr>
          <w:rFonts w:ascii="Times New Roman" w:eastAsia="Times New Roman" w:hAnsi="Times New Roman" w:cs="Times New Roman"/>
          <w:lang w:val="fr-FR"/>
        </w:rPr>
        <w:fldChar w:fldCharType="end"/>
      </w:r>
      <w:r w:rsidRPr="00874348">
        <w:rPr>
          <w:rFonts w:ascii="Times New Roman" w:eastAsia="Times New Roman" w:hAnsi="Times New Roman" w:cs="Times New Roman"/>
          <w:lang w:val="fr-FR"/>
        </w:rPr>
        <w:t>.  Invoquant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article 13 de la Convention, ils dénoncent aussi ne pas disposer d</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un recours effectif pour se plaindre des violations de ces droits qu</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ils allèguent devant la Cour.</w:t>
      </w:r>
    </w:p>
    <w:p w:rsidR="00506071" w:rsidRPr="00874348" w:rsidRDefault="00506071" w:rsidP="00874348">
      <w:pPr>
        <w:pStyle w:val="ECHRPara"/>
        <w:rPr>
          <w:rFonts w:ascii="Times New Roman" w:eastAsia="Times New Roman" w:hAnsi="Times New Roman" w:cs="Times New Roman"/>
          <w:lang w:val="fr-FR"/>
        </w:rPr>
      </w:pPr>
      <w:r w:rsidRPr="00874348">
        <w:rPr>
          <w:rFonts w:ascii="Times New Roman" w:eastAsia="Times New Roman" w:hAnsi="Times New Roman" w:cs="Times New Roman"/>
          <w:lang w:val="fr-FR"/>
        </w:rPr>
        <w:fldChar w:fldCharType="begin"/>
      </w:r>
      <w:r w:rsidRPr="00874348">
        <w:rPr>
          <w:rFonts w:ascii="Times New Roman" w:eastAsia="Times New Roman" w:hAnsi="Times New Roman" w:cs="Times New Roman"/>
          <w:lang w:val="fr-FR"/>
        </w:rPr>
        <w:instrText xml:space="preserve"> SEQ level0 \*arabic </w:instrText>
      </w:r>
      <w:r w:rsidRPr="00874348">
        <w:rPr>
          <w:rFonts w:ascii="Times New Roman" w:eastAsia="Times New Roman" w:hAnsi="Times New Roman" w:cs="Times New Roman"/>
          <w:lang w:val="fr-FR"/>
        </w:rPr>
        <w:fldChar w:fldCharType="separate"/>
      </w:r>
      <w:r w:rsidR="00874348" w:rsidRPr="00874348">
        <w:rPr>
          <w:rFonts w:ascii="Times New Roman" w:eastAsia="Times New Roman" w:hAnsi="Times New Roman" w:cs="Times New Roman"/>
          <w:noProof/>
          <w:lang w:val="fr-FR"/>
        </w:rPr>
        <w:t>48</w:t>
      </w:r>
      <w:r w:rsidRPr="00874348">
        <w:rPr>
          <w:rFonts w:ascii="Times New Roman" w:eastAsia="Times New Roman" w:hAnsi="Times New Roman" w:cs="Times New Roman"/>
          <w:lang w:val="fr-FR"/>
        </w:rPr>
        <w:fldChar w:fldCharType="end"/>
      </w:r>
      <w:r w:rsidRPr="00874348">
        <w:rPr>
          <w:rFonts w:ascii="Times New Roman" w:eastAsia="Times New Roman" w:hAnsi="Times New Roman" w:cs="Times New Roman"/>
          <w:lang w:val="fr-FR"/>
        </w:rPr>
        <w:t>.  Les articles en cause sont ainsi libellés :</w:t>
      </w:r>
    </w:p>
    <w:p w:rsidR="00506071" w:rsidRPr="00874348" w:rsidRDefault="00506071" w:rsidP="00874348">
      <w:pPr>
        <w:pStyle w:val="ECHRTitleCentre3"/>
        <w:rPr>
          <w:rFonts w:eastAsia="Times New Roman"/>
          <w:lang w:val="fr-FR"/>
        </w:rPr>
      </w:pPr>
      <w:r w:rsidRPr="00874348">
        <w:rPr>
          <w:rFonts w:eastAsia="Times New Roman"/>
          <w:lang w:val="fr-FR"/>
        </w:rPr>
        <w:t>Article 2 de la Convention</w:t>
      </w:r>
    </w:p>
    <w:p w:rsidR="00506071" w:rsidRPr="00874348" w:rsidRDefault="00506071" w:rsidP="00874348">
      <w:pPr>
        <w:pStyle w:val="ECHRParaQuote"/>
        <w:rPr>
          <w:rFonts w:eastAsia="Times New Roman"/>
          <w:lang w:val="fr-FR"/>
        </w:rPr>
      </w:pPr>
      <w:r w:rsidRPr="00874348">
        <w:rPr>
          <w:rFonts w:eastAsia="Times New Roman"/>
          <w:lang w:val="fr-FR"/>
        </w:rPr>
        <w:t>« 1.  Le droit de toute personne à la vie est protégé par la loi. (...) »</w:t>
      </w:r>
    </w:p>
    <w:p w:rsidR="00506071" w:rsidRPr="00874348" w:rsidRDefault="00506071" w:rsidP="00874348">
      <w:pPr>
        <w:pStyle w:val="ECHRTitleCentre3"/>
        <w:rPr>
          <w:rFonts w:eastAsia="Times New Roman"/>
          <w:lang w:val="fr-FR"/>
        </w:rPr>
      </w:pPr>
      <w:r w:rsidRPr="00874348">
        <w:rPr>
          <w:rFonts w:eastAsia="Times New Roman"/>
          <w:lang w:val="fr-FR"/>
        </w:rPr>
        <w:t>Article 6 § 1 de la Convention</w:t>
      </w:r>
    </w:p>
    <w:p w:rsidR="00506071" w:rsidRPr="00874348" w:rsidRDefault="00506071" w:rsidP="00874348">
      <w:pPr>
        <w:pStyle w:val="ECHRParaQuote"/>
        <w:rPr>
          <w:rFonts w:eastAsia="Times New Roman"/>
          <w:lang w:val="fr-FR"/>
        </w:rPr>
      </w:pPr>
      <w:r w:rsidRPr="00874348">
        <w:rPr>
          <w:rFonts w:eastAsia="Times New Roman"/>
          <w:lang w:val="fr-FR"/>
        </w:rPr>
        <w:t>« Toute personne a droit à ce que sa cause soit entendue équitablement (...) par un tribunal (...), qui décidera (...) des contestations sur ses droits et obligations de caractère civil (...) »</w:t>
      </w:r>
    </w:p>
    <w:p w:rsidR="00506071" w:rsidRPr="00874348" w:rsidRDefault="00506071" w:rsidP="00874348">
      <w:pPr>
        <w:pStyle w:val="ECHRTitleCentre3"/>
        <w:rPr>
          <w:rFonts w:eastAsia="Times New Roman"/>
          <w:lang w:val="fr-FR"/>
        </w:rPr>
      </w:pPr>
      <w:r w:rsidRPr="00874348">
        <w:rPr>
          <w:rFonts w:eastAsia="Times New Roman"/>
          <w:lang w:val="fr-FR"/>
        </w:rPr>
        <w:t>Article 13 de la Convention</w:t>
      </w:r>
    </w:p>
    <w:p w:rsidR="00506071" w:rsidRPr="00874348" w:rsidRDefault="00506071" w:rsidP="00874348">
      <w:pPr>
        <w:pStyle w:val="ECHRParaQuote"/>
        <w:rPr>
          <w:rFonts w:eastAsia="Times New Roman"/>
          <w:lang w:val="fr-FR"/>
        </w:rPr>
      </w:pPr>
      <w:r w:rsidRPr="00874348">
        <w:rPr>
          <w:rFonts w:eastAsia="Times New Roman"/>
          <w:lang w:val="fr-FR"/>
        </w:rPr>
        <w:t>« Toute personne dont les droits et libertés reconnus dans la (...) Convention ont été violés, a droit à l</w:t>
      </w:r>
      <w:r w:rsidR="00874348" w:rsidRPr="00874348">
        <w:rPr>
          <w:rFonts w:eastAsia="Times New Roman"/>
          <w:lang w:val="fr-FR"/>
        </w:rPr>
        <w:t>’</w:t>
      </w:r>
      <w:r w:rsidRPr="00874348">
        <w:rPr>
          <w:rFonts w:eastAsia="Times New Roman"/>
          <w:lang w:val="fr-FR"/>
        </w:rPr>
        <w:t>octroi d</w:t>
      </w:r>
      <w:r w:rsidR="00874348" w:rsidRPr="00874348">
        <w:rPr>
          <w:rFonts w:eastAsia="Times New Roman"/>
          <w:lang w:val="fr-FR"/>
        </w:rPr>
        <w:t>’</w:t>
      </w:r>
      <w:r w:rsidRPr="00874348">
        <w:rPr>
          <w:rFonts w:eastAsia="Times New Roman"/>
          <w:lang w:val="fr-FR"/>
        </w:rPr>
        <w:t>un recours effectif devant une instance nationale, alors même que la violation aurait été commise par des personnes agissant dans l</w:t>
      </w:r>
      <w:r w:rsidR="00874348" w:rsidRPr="00874348">
        <w:rPr>
          <w:rFonts w:eastAsia="Times New Roman"/>
          <w:lang w:val="fr-FR"/>
        </w:rPr>
        <w:t>’</w:t>
      </w:r>
      <w:r w:rsidRPr="00874348">
        <w:rPr>
          <w:rFonts w:eastAsia="Times New Roman"/>
          <w:lang w:val="fr-FR"/>
        </w:rPr>
        <w:t>exercice de leurs fonctions officielles. »</w:t>
      </w:r>
    </w:p>
    <w:p w:rsidR="00506071" w:rsidRPr="00874348" w:rsidRDefault="00506071" w:rsidP="00874348">
      <w:pPr>
        <w:pStyle w:val="ECHRTitleCentre3"/>
        <w:rPr>
          <w:rFonts w:eastAsia="Times New Roman"/>
          <w:lang w:val="fr-FR"/>
        </w:rPr>
      </w:pPr>
      <w:r w:rsidRPr="00874348">
        <w:rPr>
          <w:rFonts w:eastAsia="Times New Roman"/>
          <w:lang w:val="fr-FR"/>
        </w:rPr>
        <w:t>Article 1 du Protocole n</w:t>
      </w:r>
      <w:r w:rsidRPr="00874348">
        <w:rPr>
          <w:rFonts w:eastAsia="Times New Roman"/>
          <w:vertAlign w:val="superscript"/>
          <w:lang w:val="fr-FR"/>
        </w:rPr>
        <w:t>o</w:t>
      </w:r>
      <w:r w:rsidRPr="00874348">
        <w:rPr>
          <w:rFonts w:eastAsia="Times New Roman"/>
          <w:lang w:val="fr-FR"/>
        </w:rPr>
        <w:t xml:space="preserve"> 1 à la Convention</w:t>
      </w:r>
    </w:p>
    <w:p w:rsidR="00506071" w:rsidRPr="00874348" w:rsidRDefault="00506071" w:rsidP="00874348">
      <w:pPr>
        <w:pStyle w:val="ECHRParaQuote"/>
        <w:rPr>
          <w:rFonts w:eastAsia="Times New Roman"/>
          <w:lang w:val="fr-FR"/>
        </w:rPr>
      </w:pPr>
      <w:r w:rsidRPr="00874348">
        <w:rPr>
          <w:rFonts w:eastAsia="Times New Roman"/>
          <w:lang w:val="fr-FR"/>
        </w:rPr>
        <w:t>« Toute personne physique ou morale a droit au respect de ses biens. Nul ne peut être privé de sa propriété que pour cause d</w:t>
      </w:r>
      <w:r w:rsidR="00874348" w:rsidRPr="00874348">
        <w:rPr>
          <w:rFonts w:eastAsia="Times New Roman"/>
          <w:lang w:val="fr-FR"/>
        </w:rPr>
        <w:t>’</w:t>
      </w:r>
      <w:r w:rsidRPr="00874348">
        <w:rPr>
          <w:rFonts w:eastAsia="Times New Roman"/>
          <w:lang w:val="fr-FR"/>
        </w:rPr>
        <w:t>utilité publique et dans les conditions prévues par la loi et les principes généraux du droit international.</w:t>
      </w:r>
    </w:p>
    <w:p w:rsidR="00506071" w:rsidRPr="00874348" w:rsidRDefault="00506071" w:rsidP="00874348">
      <w:pPr>
        <w:pStyle w:val="ECHRParaQuote"/>
        <w:rPr>
          <w:rFonts w:eastAsia="Times New Roman"/>
          <w:lang w:val="fr-FR"/>
        </w:rPr>
      </w:pPr>
      <w:r w:rsidRPr="00874348">
        <w:rPr>
          <w:rFonts w:eastAsia="Times New Roman"/>
          <w:lang w:val="fr-FR"/>
        </w:rPr>
        <w:t>Les dispositions précédentes ne portent pas atteinte au droit que possèdent les États de mettre en vigueur les lois qu</w:t>
      </w:r>
      <w:r w:rsidR="00874348" w:rsidRPr="00874348">
        <w:rPr>
          <w:rFonts w:eastAsia="Times New Roman"/>
          <w:lang w:val="fr-FR"/>
        </w:rPr>
        <w:t>’</w:t>
      </w:r>
      <w:r w:rsidRPr="00874348">
        <w:rPr>
          <w:rFonts w:eastAsia="Times New Roman"/>
          <w:lang w:val="fr-FR"/>
        </w:rPr>
        <w:t>ils jugent nécessaires pour réglementer l</w:t>
      </w:r>
      <w:r w:rsidR="00874348" w:rsidRPr="00874348">
        <w:rPr>
          <w:rFonts w:eastAsia="Times New Roman"/>
          <w:lang w:val="fr-FR"/>
        </w:rPr>
        <w:t>’</w:t>
      </w:r>
      <w:r w:rsidRPr="00874348">
        <w:rPr>
          <w:rFonts w:eastAsia="Times New Roman"/>
          <w:lang w:val="fr-FR"/>
        </w:rPr>
        <w:t>usage des biens conformément à l</w:t>
      </w:r>
      <w:r w:rsidR="00874348" w:rsidRPr="00874348">
        <w:rPr>
          <w:rFonts w:eastAsia="Times New Roman"/>
          <w:lang w:val="fr-FR"/>
        </w:rPr>
        <w:t>’</w:t>
      </w:r>
      <w:r w:rsidRPr="00874348">
        <w:rPr>
          <w:rFonts w:eastAsia="Times New Roman"/>
          <w:lang w:val="fr-FR"/>
        </w:rPr>
        <w:t>intérêt général ou pour assurer le paiement des impôts ou d</w:t>
      </w:r>
      <w:r w:rsidR="00874348" w:rsidRPr="00874348">
        <w:rPr>
          <w:rFonts w:eastAsia="Times New Roman"/>
          <w:lang w:val="fr-FR"/>
        </w:rPr>
        <w:t>’</w:t>
      </w:r>
      <w:r w:rsidRPr="00874348">
        <w:rPr>
          <w:rFonts w:eastAsia="Times New Roman"/>
          <w:lang w:val="fr-FR"/>
        </w:rPr>
        <w:t>autres contributions ou des amendes. »</w:t>
      </w:r>
    </w:p>
    <w:p w:rsidR="00506071" w:rsidRPr="00874348" w:rsidRDefault="00506071" w:rsidP="00874348">
      <w:pPr>
        <w:pStyle w:val="ECHRHeading2"/>
        <w:rPr>
          <w:rFonts w:eastAsia="Times New Roman"/>
          <w:lang w:val="fr-FR"/>
        </w:rPr>
      </w:pPr>
      <w:r w:rsidRPr="00874348">
        <w:rPr>
          <w:rFonts w:eastAsia="Times New Roman"/>
          <w:lang w:val="fr-FR"/>
        </w:rPr>
        <w:lastRenderedPageBreak/>
        <w:t>A.  Sur la recevabilité</w:t>
      </w:r>
    </w:p>
    <w:p w:rsidR="00506071" w:rsidRPr="00874348" w:rsidRDefault="00506071" w:rsidP="00874348">
      <w:pPr>
        <w:pStyle w:val="ECHRPara"/>
        <w:rPr>
          <w:rFonts w:eastAsia="Times New Roman" w:cs="Calibri"/>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49</w:t>
      </w:r>
      <w:r w:rsidRPr="00874348">
        <w:rPr>
          <w:rFonts w:eastAsia="Times New Roman"/>
          <w:lang w:val="fr-FR"/>
        </w:rPr>
        <w:fldChar w:fldCharType="end"/>
      </w:r>
      <w:r w:rsidRPr="00874348">
        <w:rPr>
          <w:rFonts w:eastAsia="Times New Roman"/>
          <w:lang w:val="fr-FR"/>
        </w:rPr>
        <w:t>.  En ce qui concerne cinq des douze re</w:t>
      </w:r>
      <w:r w:rsidR="00313171" w:rsidRPr="00874348">
        <w:rPr>
          <w:rFonts w:eastAsia="Times New Roman"/>
          <w:lang w:val="fr-FR"/>
        </w:rPr>
        <w:t>quérants indiqués au paragraphe </w:t>
      </w:r>
      <w:r w:rsidRPr="00874348">
        <w:rPr>
          <w:rFonts w:eastAsia="Times New Roman"/>
          <w:lang w:val="fr-FR"/>
        </w:rPr>
        <w:t>45 ci-dessus</w:t>
      </w:r>
      <w:r w:rsidRPr="00874348">
        <w:rPr>
          <w:rFonts w:eastAsia="Times New Roman" w:cs="Calibri"/>
          <w:vertAlign w:val="superscript"/>
          <w:lang w:val="fr-FR"/>
        </w:rPr>
        <w:footnoteReference w:id="7"/>
      </w:r>
      <w:r w:rsidRPr="00874348">
        <w:rPr>
          <w:rFonts w:eastAsia="Times New Roman"/>
          <w:lang w:val="fr-FR"/>
        </w:rPr>
        <w:t>, la Cour note d</w:t>
      </w:r>
      <w:r w:rsidR="00874348" w:rsidRPr="00874348">
        <w:rPr>
          <w:rFonts w:eastAsia="Times New Roman"/>
          <w:lang w:val="fr-FR"/>
        </w:rPr>
        <w:t>’</w:t>
      </w:r>
      <w:r w:rsidRPr="00874348">
        <w:rPr>
          <w:rFonts w:eastAsia="Times New Roman"/>
          <w:lang w:val="fr-FR"/>
        </w:rPr>
        <w:t>emblée qu</w:t>
      </w:r>
      <w:r w:rsidR="00874348" w:rsidRPr="00874348">
        <w:rPr>
          <w:rFonts w:eastAsia="Times New Roman"/>
          <w:lang w:val="fr-FR"/>
        </w:rPr>
        <w:t>’</w:t>
      </w:r>
      <w:r w:rsidRPr="00874348">
        <w:rPr>
          <w:rFonts w:eastAsia="Times New Roman"/>
          <w:lang w:val="fr-FR"/>
        </w:rPr>
        <w:t>en répondant à la demande de la Cour le 4 août 2015, leurs représentants</w:t>
      </w:r>
      <w:r w:rsidRPr="00874348">
        <w:rPr>
          <w:rFonts w:eastAsia="Times New Roman" w:cs="Calibri"/>
          <w:lang w:val="fr-FR"/>
        </w:rPr>
        <w:t xml:space="preserve"> ont indiqué que ceux-ci avaient déjà était payés en 2008 et 2012, à savoir avant l</w:t>
      </w:r>
      <w:r w:rsidR="00874348" w:rsidRPr="00874348">
        <w:rPr>
          <w:rFonts w:eastAsia="Times New Roman" w:cs="Calibri"/>
          <w:lang w:val="fr-FR"/>
        </w:rPr>
        <w:t>’</w:t>
      </w:r>
      <w:r w:rsidRPr="00874348">
        <w:rPr>
          <w:rFonts w:eastAsia="Times New Roman" w:cs="Calibri"/>
          <w:lang w:val="fr-FR"/>
        </w:rPr>
        <w:t>introduction de leur requête devant la Cour (paragraphe 18 ci-dessus).</w:t>
      </w:r>
    </w:p>
    <w:p w:rsidR="00506071" w:rsidRPr="00874348" w:rsidRDefault="00506071" w:rsidP="00874348">
      <w:pPr>
        <w:pStyle w:val="ECHRPara"/>
        <w:rPr>
          <w:rFonts w:eastAsia="Times New Roman"/>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50</w:t>
      </w:r>
      <w:r w:rsidRPr="00874348">
        <w:rPr>
          <w:rFonts w:eastAsia="Times New Roman" w:cs="Calibri"/>
          <w:lang w:val="fr-FR"/>
        </w:rPr>
        <w:fldChar w:fldCharType="end"/>
      </w:r>
      <w:r w:rsidRPr="00874348">
        <w:rPr>
          <w:rFonts w:eastAsia="Times New Roman" w:cs="Calibri"/>
          <w:lang w:val="fr-FR"/>
        </w:rPr>
        <w:t>.  La Cour relève donc qu</w:t>
      </w:r>
      <w:r w:rsidR="00874348" w:rsidRPr="00874348">
        <w:rPr>
          <w:rFonts w:eastAsia="Times New Roman" w:cs="Calibri"/>
          <w:lang w:val="fr-FR"/>
        </w:rPr>
        <w:t>’</w:t>
      </w:r>
      <w:r w:rsidRPr="00874348">
        <w:rPr>
          <w:rFonts w:eastAsia="Times New Roman" w:cs="Calibri"/>
          <w:lang w:val="fr-FR"/>
        </w:rPr>
        <w:t>à la lumière de ces informations la partie de la requête introduite par les cinq requérants en cause est manifestement mal fondée et doit être rejetée au sens de l</w:t>
      </w:r>
      <w:r w:rsidR="00874348" w:rsidRPr="00874348">
        <w:rPr>
          <w:rFonts w:eastAsia="Times New Roman" w:cs="Calibri"/>
          <w:lang w:val="fr-FR"/>
        </w:rPr>
        <w:t>’</w:t>
      </w:r>
      <w:r w:rsidRPr="00874348">
        <w:rPr>
          <w:rFonts w:eastAsia="Times New Roman" w:cs="Calibri"/>
          <w:lang w:val="fr-FR"/>
        </w:rPr>
        <w:t>article 35 §§ 3 et 4 de la Convention. Les considérations suivantes concernent donc uniquement les sept requérants restants</w:t>
      </w:r>
      <w:r w:rsidR="0020642C" w:rsidRPr="00874348">
        <w:rPr>
          <w:rStyle w:val="Rimandonotaapidipagina"/>
          <w:rFonts w:eastAsia="Times New Roman" w:cs="Calibri"/>
          <w:lang w:val="fr-FR"/>
        </w:rPr>
        <w:footnoteReference w:id="8"/>
      </w:r>
      <w:r w:rsidRPr="00874348">
        <w:rPr>
          <w:rStyle w:val="Rimandonotaapidipagina"/>
          <w:rFonts w:eastAsia="Times New Roman" w:cs="Calibri"/>
          <w:lang w:val="fr-FR"/>
        </w:rPr>
        <w:footnoteReference w:id="9"/>
      </w:r>
      <w:r w:rsidRPr="00874348">
        <w:rPr>
          <w:rFonts w:eastAsia="Times New Roman" w:cs="Calibri"/>
          <w:lang w:val="fr-FR"/>
        </w:rPr>
        <w: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51</w:t>
      </w:r>
      <w:r w:rsidRPr="00874348">
        <w:rPr>
          <w:rFonts w:eastAsia="Times New Roman"/>
          <w:lang w:val="fr-FR"/>
        </w:rPr>
        <w:fldChar w:fldCharType="end"/>
      </w:r>
      <w:r w:rsidRPr="00874348">
        <w:rPr>
          <w:rFonts w:eastAsia="Times New Roman"/>
          <w:lang w:val="fr-FR"/>
        </w:rPr>
        <w:t>.  Pour ce qui est du grief tiré de l</w:t>
      </w:r>
      <w:r w:rsidR="00874348" w:rsidRPr="00874348">
        <w:rPr>
          <w:rFonts w:eastAsia="Times New Roman"/>
          <w:lang w:val="fr-FR"/>
        </w:rPr>
        <w:t>’</w:t>
      </w:r>
      <w:r w:rsidRPr="00874348">
        <w:rPr>
          <w:rFonts w:eastAsia="Times New Roman"/>
          <w:lang w:val="fr-FR"/>
        </w:rPr>
        <w:t>article 2 de la Convention, sous son volet procédural, la Cour relève que, contrairement aux autres requérants de la requête n</w:t>
      </w:r>
      <w:r w:rsidRPr="00874348">
        <w:rPr>
          <w:rFonts w:eastAsia="Times New Roman"/>
          <w:vertAlign w:val="superscript"/>
          <w:lang w:val="fr-FR"/>
        </w:rPr>
        <w:t>os </w:t>
      </w:r>
      <w:r w:rsidRPr="00874348">
        <w:rPr>
          <w:rFonts w:eastAsia="Times New Roman"/>
          <w:lang w:val="fr-FR"/>
        </w:rPr>
        <w:t>8154/12 qui dénoncent la durée des procédures de règlement amiable, ces sept requérants ont obtenu une décision de dédommagement favorable qui n</w:t>
      </w:r>
      <w:r w:rsidR="00874348" w:rsidRPr="00874348">
        <w:rPr>
          <w:rFonts w:eastAsia="Times New Roman"/>
          <w:lang w:val="fr-FR"/>
        </w:rPr>
        <w:t>’</w:t>
      </w:r>
      <w:r w:rsidRPr="00874348">
        <w:rPr>
          <w:rFonts w:eastAsia="Times New Roman"/>
          <w:lang w:val="fr-FR"/>
        </w:rPr>
        <w:t>a pas été exécutée. La question spécifique de la non-exécution sera examinée au fond ci-dessous (paragraphes 57-76 ci-dessous).</w:t>
      </w:r>
    </w:p>
    <w:p w:rsidR="00506071" w:rsidRPr="00874348" w:rsidRDefault="00506071" w:rsidP="00874348">
      <w:pPr>
        <w:pStyle w:val="ECHRPara"/>
        <w:rPr>
          <w:rFonts w:ascii="Times New Roman" w:eastAsia="Times New Roman" w:hAnsi="Times New Roman" w:cs="Times New Roman"/>
          <w:lang w:val="fr-FR"/>
        </w:rPr>
      </w:pPr>
      <w:r w:rsidRPr="00874348">
        <w:rPr>
          <w:rFonts w:ascii="Times New Roman" w:eastAsia="Times New Roman" w:hAnsi="Times New Roman" w:cs="Times New Roman"/>
          <w:lang w:val="fr-FR"/>
        </w:rPr>
        <w:fldChar w:fldCharType="begin"/>
      </w:r>
      <w:r w:rsidRPr="00874348">
        <w:rPr>
          <w:rFonts w:ascii="Times New Roman" w:eastAsia="Times New Roman" w:hAnsi="Times New Roman" w:cs="Times New Roman"/>
          <w:lang w:val="fr-FR"/>
        </w:rPr>
        <w:instrText xml:space="preserve"> SEQ level0 \*arabic </w:instrText>
      </w:r>
      <w:r w:rsidRPr="00874348">
        <w:rPr>
          <w:rFonts w:ascii="Times New Roman" w:eastAsia="Times New Roman" w:hAnsi="Times New Roman" w:cs="Times New Roman"/>
          <w:lang w:val="fr-FR"/>
        </w:rPr>
        <w:fldChar w:fldCharType="separate"/>
      </w:r>
      <w:r w:rsidR="00874348" w:rsidRPr="00874348">
        <w:rPr>
          <w:rFonts w:ascii="Times New Roman" w:eastAsia="Times New Roman" w:hAnsi="Times New Roman" w:cs="Times New Roman"/>
          <w:noProof/>
          <w:lang w:val="fr-FR"/>
        </w:rPr>
        <w:t>52</w:t>
      </w:r>
      <w:r w:rsidRPr="00874348">
        <w:rPr>
          <w:rFonts w:ascii="Times New Roman" w:eastAsia="Times New Roman" w:hAnsi="Times New Roman" w:cs="Times New Roman"/>
          <w:lang w:val="fr-FR"/>
        </w:rPr>
        <w:fldChar w:fldCharType="end"/>
      </w:r>
      <w:r w:rsidRPr="00874348">
        <w:rPr>
          <w:rFonts w:ascii="Times New Roman" w:eastAsia="Times New Roman" w:hAnsi="Times New Roman" w:cs="Times New Roman"/>
          <w:lang w:val="fr-FR"/>
        </w:rPr>
        <w:t>.  Pour le surplus, la Cour considère que le grief de ces requérants tiré de la durée excessive de la procédure en règlement amiable au titre de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article 2 de la Convention n</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apparaît pas dûment étayé. Cette partie de la requête donc être rejetée en tant que manifestement mal fondée, au sens de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article 35 §§ 3 et 4 de la Convention.</w:t>
      </w:r>
    </w:p>
    <w:p w:rsidR="00D53B1C" w:rsidRPr="00874348" w:rsidRDefault="00506071" w:rsidP="00874348">
      <w:pPr>
        <w:pStyle w:val="ECHRPara"/>
        <w:rPr>
          <w:rFonts w:ascii="Times New Roman" w:eastAsia="Times New Roman" w:hAnsi="Times New Roman" w:cs="Times New Roman"/>
          <w:lang w:val="fr-FR"/>
        </w:rPr>
      </w:pPr>
      <w:r w:rsidRPr="00874348">
        <w:rPr>
          <w:rFonts w:ascii="Times New Roman" w:eastAsia="Times New Roman" w:hAnsi="Times New Roman" w:cs="Times New Roman"/>
          <w:lang w:val="fr-FR"/>
        </w:rPr>
        <w:fldChar w:fldCharType="begin"/>
      </w:r>
      <w:r w:rsidRPr="00874348">
        <w:rPr>
          <w:rFonts w:ascii="Times New Roman" w:eastAsia="Times New Roman" w:hAnsi="Times New Roman" w:cs="Times New Roman"/>
          <w:lang w:val="fr-FR"/>
        </w:rPr>
        <w:instrText xml:space="preserve"> SEQ level0 \*arabic </w:instrText>
      </w:r>
      <w:r w:rsidRPr="00874348">
        <w:rPr>
          <w:rFonts w:ascii="Times New Roman" w:eastAsia="Times New Roman" w:hAnsi="Times New Roman" w:cs="Times New Roman"/>
          <w:lang w:val="fr-FR"/>
        </w:rPr>
        <w:fldChar w:fldCharType="separate"/>
      </w:r>
      <w:r w:rsidR="00874348" w:rsidRPr="00874348">
        <w:rPr>
          <w:rFonts w:ascii="Times New Roman" w:eastAsia="Times New Roman" w:hAnsi="Times New Roman" w:cs="Times New Roman"/>
          <w:noProof/>
          <w:lang w:val="fr-FR"/>
        </w:rPr>
        <w:t>53</w:t>
      </w:r>
      <w:r w:rsidRPr="00874348">
        <w:rPr>
          <w:rFonts w:ascii="Times New Roman" w:eastAsia="Times New Roman" w:hAnsi="Times New Roman" w:cs="Times New Roman"/>
          <w:lang w:val="fr-FR"/>
        </w:rPr>
        <w:fldChar w:fldCharType="end"/>
      </w:r>
      <w:r w:rsidRPr="00874348">
        <w:rPr>
          <w:rFonts w:ascii="Times New Roman" w:eastAsia="Times New Roman" w:hAnsi="Times New Roman" w:cs="Times New Roman"/>
          <w:lang w:val="fr-FR"/>
        </w:rPr>
        <w:t>.  Compte tenu de ces considérations, la Cour estime que le grief tiré de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article 13 de la Convention, dans la mesure où celui-ci est lié à la doléance tirée de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article 2 de la Convention, est manifestement mal fondé et doit être rejeté au sens de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article 35 §§ 3 et 4 de la Convention.</w:t>
      </w:r>
    </w:p>
    <w:p w:rsidR="00506071" w:rsidRPr="00874348" w:rsidRDefault="00506071" w:rsidP="00874348">
      <w:pPr>
        <w:pStyle w:val="ECHRPara"/>
        <w:rPr>
          <w:rFonts w:ascii="Times New Roman" w:eastAsia="Times New Roman" w:hAnsi="Times New Roman" w:cs="Times New Roman"/>
          <w:lang w:val="fr-FR"/>
        </w:rPr>
      </w:pPr>
      <w:r w:rsidRPr="00874348">
        <w:rPr>
          <w:rFonts w:ascii="Times New Roman" w:eastAsia="Times New Roman" w:hAnsi="Times New Roman" w:cs="Times New Roman"/>
          <w:lang w:val="fr-FR"/>
        </w:rPr>
        <w:fldChar w:fldCharType="begin"/>
      </w:r>
      <w:r w:rsidRPr="00874348">
        <w:rPr>
          <w:rFonts w:ascii="Times New Roman" w:eastAsia="Times New Roman" w:hAnsi="Times New Roman" w:cs="Times New Roman"/>
          <w:lang w:val="fr-FR"/>
        </w:rPr>
        <w:instrText xml:space="preserve"> SEQ level0 \*arabic </w:instrText>
      </w:r>
      <w:r w:rsidRPr="00874348">
        <w:rPr>
          <w:rFonts w:ascii="Times New Roman" w:eastAsia="Times New Roman" w:hAnsi="Times New Roman" w:cs="Times New Roman"/>
          <w:lang w:val="fr-FR"/>
        </w:rPr>
        <w:fldChar w:fldCharType="separate"/>
      </w:r>
      <w:r w:rsidR="00874348" w:rsidRPr="00874348">
        <w:rPr>
          <w:rFonts w:ascii="Times New Roman" w:eastAsia="Times New Roman" w:hAnsi="Times New Roman" w:cs="Times New Roman"/>
          <w:noProof/>
          <w:lang w:val="fr-FR"/>
        </w:rPr>
        <w:t>54</w:t>
      </w:r>
      <w:r w:rsidRPr="00874348">
        <w:rPr>
          <w:rFonts w:ascii="Times New Roman" w:eastAsia="Times New Roman" w:hAnsi="Times New Roman" w:cs="Times New Roman"/>
          <w:lang w:val="fr-FR"/>
        </w:rPr>
        <w:fldChar w:fldCharType="end"/>
      </w:r>
      <w:r w:rsidRPr="00874348">
        <w:rPr>
          <w:rFonts w:ascii="Times New Roman" w:eastAsia="Times New Roman" w:hAnsi="Times New Roman" w:cs="Times New Roman"/>
          <w:lang w:val="fr-FR"/>
        </w:rPr>
        <w:t>.  Enfin, en ce qui concerne les griefs tirés des articles 6 § 1 de la Convention, 1 du Protocole n</w:t>
      </w:r>
      <w:r w:rsidRPr="00874348">
        <w:rPr>
          <w:rFonts w:ascii="Times New Roman" w:eastAsia="Times New Roman" w:hAnsi="Times New Roman" w:cs="Times New Roman"/>
          <w:vertAlign w:val="superscript"/>
          <w:lang w:val="fr-FR"/>
        </w:rPr>
        <w:t>o</w:t>
      </w:r>
      <w:r w:rsidRPr="00874348">
        <w:rPr>
          <w:rFonts w:ascii="Times New Roman" w:eastAsia="Times New Roman" w:hAnsi="Times New Roman" w:cs="Times New Roman"/>
          <w:lang w:val="fr-FR"/>
        </w:rPr>
        <w:t xml:space="preserve"> 1 et 13 de la Convention, tenant à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inexécution des jugements définitifs, le Gouvernement fait valoir que les requérants peuvent se prévaloir du remède interne prévu par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article 27-</w:t>
      </w:r>
      <w:r w:rsidRPr="00874348">
        <w:rPr>
          <w:rFonts w:ascii="Times New Roman" w:eastAsia="Times New Roman" w:hAnsi="Times New Roman" w:cs="Times New Roman"/>
          <w:i/>
          <w:lang w:val="fr-FR"/>
        </w:rPr>
        <w:t>bis</w:t>
      </w:r>
      <w:r w:rsidRPr="00874348">
        <w:rPr>
          <w:rFonts w:ascii="Times New Roman" w:eastAsia="Times New Roman" w:hAnsi="Times New Roman" w:cs="Times New Roman"/>
          <w:lang w:val="fr-FR"/>
        </w:rPr>
        <w:t xml:space="preserve"> du décret-loi n</w:t>
      </w:r>
      <w:r w:rsidRPr="00874348">
        <w:rPr>
          <w:rFonts w:ascii="Times New Roman" w:eastAsia="Times New Roman" w:hAnsi="Times New Roman" w:cs="Times New Roman"/>
          <w:vertAlign w:val="superscript"/>
          <w:lang w:val="fr-FR"/>
        </w:rPr>
        <w:t>o</w:t>
      </w:r>
      <w:r w:rsidRPr="00874348">
        <w:rPr>
          <w:rFonts w:ascii="Times New Roman" w:eastAsia="Times New Roman" w:hAnsi="Times New Roman" w:cs="Times New Roman"/>
          <w:lang w:val="fr-FR"/>
        </w:rPr>
        <w:t> 90/2014.</w:t>
      </w:r>
    </w:p>
    <w:p w:rsidR="00506071" w:rsidRPr="00874348" w:rsidRDefault="00506071" w:rsidP="00874348">
      <w:pPr>
        <w:pStyle w:val="ECHRPara"/>
        <w:rPr>
          <w:rFonts w:ascii="Times New Roman" w:eastAsia="Times New Roman" w:hAnsi="Times New Roman" w:cs="Times New Roman"/>
          <w:lang w:val="fr-FR"/>
        </w:rPr>
      </w:pPr>
      <w:r w:rsidRPr="00874348">
        <w:rPr>
          <w:rFonts w:ascii="Times New Roman" w:eastAsia="Times New Roman" w:hAnsi="Times New Roman" w:cs="Times New Roman"/>
          <w:lang w:val="fr-FR"/>
        </w:rPr>
        <w:fldChar w:fldCharType="begin"/>
      </w:r>
      <w:r w:rsidRPr="00874348">
        <w:rPr>
          <w:rFonts w:ascii="Times New Roman" w:eastAsia="Times New Roman" w:hAnsi="Times New Roman" w:cs="Times New Roman"/>
          <w:lang w:val="fr-FR"/>
        </w:rPr>
        <w:instrText xml:space="preserve"> SEQ level0 \*arabic </w:instrText>
      </w:r>
      <w:r w:rsidRPr="00874348">
        <w:rPr>
          <w:rFonts w:ascii="Times New Roman" w:eastAsia="Times New Roman" w:hAnsi="Times New Roman" w:cs="Times New Roman"/>
          <w:lang w:val="fr-FR"/>
        </w:rPr>
        <w:fldChar w:fldCharType="separate"/>
      </w:r>
      <w:r w:rsidR="00874348" w:rsidRPr="00874348">
        <w:rPr>
          <w:rFonts w:ascii="Times New Roman" w:eastAsia="Times New Roman" w:hAnsi="Times New Roman" w:cs="Times New Roman"/>
          <w:noProof/>
          <w:lang w:val="fr-FR"/>
        </w:rPr>
        <w:t>55</w:t>
      </w:r>
      <w:r w:rsidRPr="00874348">
        <w:rPr>
          <w:rFonts w:ascii="Times New Roman" w:eastAsia="Times New Roman" w:hAnsi="Times New Roman" w:cs="Times New Roman"/>
          <w:lang w:val="fr-FR"/>
        </w:rPr>
        <w:fldChar w:fldCharType="end"/>
      </w:r>
      <w:r w:rsidRPr="00874348">
        <w:rPr>
          <w:rFonts w:ascii="Times New Roman" w:eastAsia="Times New Roman" w:hAnsi="Times New Roman" w:cs="Times New Roman"/>
          <w:lang w:val="fr-FR"/>
        </w:rPr>
        <w:t>.  La Cour relève que ce décret-loi, entré en vigueur bien après le jugement du tribunal de Rome du 29 août 2005 ayant reconnu le droit des requérants à être dédommagés et les décisions de quantification y relatives (paragraphes 20-22 ci-dessus), ne saurait être considéré comme une voie de recours à épuiser pour se plaindre de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 xml:space="preserve">inexécution de jugements </w:t>
      </w:r>
      <w:r w:rsidRPr="00874348">
        <w:rPr>
          <w:rFonts w:ascii="Times New Roman" w:eastAsia="Times New Roman" w:hAnsi="Times New Roman" w:cs="Times New Roman"/>
          <w:lang w:val="fr-FR"/>
        </w:rPr>
        <w:lastRenderedPageBreak/>
        <w:t>susmentionnés.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exception soulevée que le gouvernement défendeur doit donc être rejetée.</w:t>
      </w:r>
    </w:p>
    <w:p w:rsidR="00506071" w:rsidRPr="00874348" w:rsidRDefault="00506071" w:rsidP="00874348">
      <w:pPr>
        <w:pStyle w:val="ECHRPara"/>
        <w:rPr>
          <w:rFonts w:ascii="Times New Roman" w:eastAsia="Times New Roman" w:hAnsi="Times New Roman" w:cs="Times New Roman"/>
          <w:lang w:val="fr-FR"/>
        </w:rPr>
      </w:pPr>
      <w:r w:rsidRPr="00874348">
        <w:rPr>
          <w:rFonts w:ascii="Times New Roman" w:eastAsia="Times New Roman" w:hAnsi="Times New Roman" w:cs="Times New Roman"/>
          <w:lang w:val="fr-FR"/>
        </w:rPr>
        <w:fldChar w:fldCharType="begin"/>
      </w:r>
      <w:r w:rsidRPr="00874348">
        <w:rPr>
          <w:rFonts w:ascii="Times New Roman" w:eastAsia="Times New Roman" w:hAnsi="Times New Roman" w:cs="Times New Roman"/>
          <w:lang w:val="fr-FR"/>
        </w:rPr>
        <w:instrText xml:space="preserve"> SEQ level0 \*arabic </w:instrText>
      </w:r>
      <w:r w:rsidRPr="00874348">
        <w:rPr>
          <w:rFonts w:ascii="Times New Roman" w:eastAsia="Times New Roman" w:hAnsi="Times New Roman" w:cs="Times New Roman"/>
          <w:lang w:val="fr-FR"/>
        </w:rPr>
        <w:fldChar w:fldCharType="separate"/>
      </w:r>
      <w:r w:rsidR="00874348" w:rsidRPr="00874348">
        <w:rPr>
          <w:rFonts w:ascii="Times New Roman" w:eastAsia="Times New Roman" w:hAnsi="Times New Roman" w:cs="Times New Roman"/>
          <w:noProof/>
          <w:lang w:val="fr-FR"/>
        </w:rPr>
        <w:t>56</w:t>
      </w:r>
      <w:r w:rsidRPr="00874348">
        <w:rPr>
          <w:rFonts w:ascii="Times New Roman" w:eastAsia="Times New Roman" w:hAnsi="Times New Roman" w:cs="Times New Roman"/>
          <w:lang w:val="fr-FR"/>
        </w:rPr>
        <w:fldChar w:fldCharType="end"/>
      </w:r>
      <w:r w:rsidRPr="00874348">
        <w:rPr>
          <w:rFonts w:ascii="Times New Roman" w:eastAsia="Times New Roman" w:hAnsi="Times New Roman" w:cs="Times New Roman"/>
          <w:lang w:val="fr-FR"/>
        </w:rPr>
        <w:t>.  La Cour constate que ces derniers griefs ne sont pas manifestement mal fondés au sens de l</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article 35 § 3 a) de la Convention et qu</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ils ne se heurtent par ailleurs à aucun autre motif d</w:t>
      </w:r>
      <w:r w:rsidR="00874348" w:rsidRPr="00874348">
        <w:rPr>
          <w:rFonts w:ascii="Times New Roman" w:eastAsia="Times New Roman" w:hAnsi="Times New Roman" w:cs="Times New Roman"/>
          <w:lang w:val="fr-FR"/>
        </w:rPr>
        <w:t>’</w:t>
      </w:r>
      <w:r w:rsidRPr="00874348">
        <w:rPr>
          <w:rFonts w:ascii="Times New Roman" w:eastAsia="Times New Roman" w:hAnsi="Times New Roman" w:cs="Times New Roman"/>
          <w:lang w:val="fr-FR"/>
        </w:rPr>
        <w:t>irrecevabilité. Elle les déclare donc recevables.</w:t>
      </w:r>
    </w:p>
    <w:p w:rsidR="00506071" w:rsidRPr="00874348" w:rsidRDefault="00506071" w:rsidP="00874348">
      <w:pPr>
        <w:pStyle w:val="ECHRHeading2"/>
        <w:rPr>
          <w:rFonts w:eastAsia="Times New Roman"/>
          <w:lang w:val="fr-FR"/>
        </w:rPr>
      </w:pPr>
      <w:r w:rsidRPr="00874348">
        <w:rPr>
          <w:rFonts w:eastAsia="Times New Roman"/>
          <w:lang w:val="fr-FR"/>
        </w:rPr>
        <w:t>B.  Sur le fond</w:t>
      </w:r>
    </w:p>
    <w:p w:rsidR="00506071" w:rsidRPr="00874348" w:rsidRDefault="00506071" w:rsidP="00874348">
      <w:pPr>
        <w:pStyle w:val="ECHRHeading3"/>
        <w:rPr>
          <w:rFonts w:eastAsia="Times New Roman"/>
          <w:lang w:val="fr-FR"/>
        </w:rPr>
      </w:pPr>
      <w:bookmarkStart w:id="1" w:name="OLE_LINK1"/>
      <w:r w:rsidRPr="00874348">
        <w:rPr>
          <w:rFonts w:eastAsia="Times New Roman"/>
          <w:lang w:val="fr-FR"/>
        </w:rPr>
        <w:t>1.  Concernant la violation alléguée de l</w:t>
      </w:r>
      <w:r w:rsidR="00874348" w:rsidRPr="00874348">
        <w:rPr>
          <w:rFonts w:eastAsia="Times New Roman"/>
          <w:lang w:val="fr-FR"/>
        </w:rPr>
        <w:t>’</w:t>
      </w:r>
      <w:r w:rsidRPr="00874348">
        <w:rPr>
          <w:rFonts w:eastAsia="Times New Roman"/>
          <w:lang w:val="fr-FR"/>
        </w:rPr>
        <w:t>article 6 § 1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57</w:t>
      </w:r>
      <w:r w:rsidRPr="00874348">
        <w:rPr>
          <w:rFonts w:eastAsia="Times New Roman"/>
          <w:lang w:val="fr-FR"/>
        </w:rPr>
        <w:fldChar w:fldCharType="end"/>
      </w:r>
      <w:r w:rsidRPr="00874348">
        <w:rPr>
          <w:rFonts w:eastAsia="Times New Roman"/>
          <w:lang w:val="fr-FR"/>
        </w:rPr>
        <w:t>.  Le Gouvernement n</w:t>
      </w:r>
      <w:r w:rsidR="00874348" w:rsidRPr="00874348">
        <w:rPr>
          <w:rFonts w:eastAsia="Times New Roman"/>
          <w:lang w:val="fr-FR"/>
        </w:rPr>
        <w:t>’</w:t>
      </w:r>
      <w:r w:rsidRPr="00874348">
        <w:rPr>
          <w:rFonts w:eastAsia="Times New Roman"/>
          <w:lang w:val="fr-FR"/>
        </w:rPr>
        <w:t>a pas présenté d</w:t>
      </w:r>
      <w:r w:rsidR="00874348" w:rsidRPr="00874348">
        <w:rPr>
          <w:rFonts w:eastAsia="Times New Roman"/>
          <w:lang w:val="fr-FR"/>
        </w:rPr>
        <w:t>’</w:t>
      </w:r>
      <w:r w:rsidRPr="00874348">
        <w:rPr>
          <w:rFonts w:eastAsia="Times New Roman"/>
          <w:lang w:val="fr-FR"/>
        </w:rPr>
        <w:t>observations sur le fond de ce grief.</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58</w:t>
      </w:r>
      <w:r w:rsidRPr="00874348">
        <w:rPr>
          <w:rFonts w:eastAsia="Times New Roman"/>
          <w:lang w:val="fr-FR"/>
        </w:rPr>
        <w:fldChar w:fldCharType="end"/>
      </w:r>
      <w:r w:rsidRPr="00874348">
        <w:rPr>
          <w:rFonts w:eastAsia="Times New Roman"/>
          <w:lang w:val="fr-FR"/>
        </w:rPr>
        <w:t>.  Les requérants soulignent que l</w:t>
      </w:r>
      <w:r w:rsidR="00874348" w:rsidRPr="00874348">
        <w:rPr>
          <w:rFonts w:eastAsia="Times New Roman"/>
          <w:lang w:val="fr-FR"/>
        </w:rPr>
        <w:t>’</w:t>
      </w:r>
      <w:r w:rsidRPr="00874348">
        <w:rPr>
          <w:rFonts w:eastAsia="Times New Roman"/>
          <w:lang w:val="fr-FR"/>
        </w:rPr>
        <w:t>exécution des décisions judiciaires rendues en leur faveur devait être spontanée et rapide et soulignent que les sommes dont ils sont créanciers sont dues par l</w:t>
      </w:r>
      <w:r w:rsidR="00874348" w:rsidRPr="00874348">
        <w:rPr>
          <w:rFonts w:eastAsia="Times New Roman"/>
          <w:lang w:val="fr-FR"/>
        </w:rPr>
        <w:t>’</w:t>
      </w:r>
      <w:r w:rsidRPr="00874348">
        <w:rPr>
          <w:rFonts w:eastAsia="Times New Roman"/>
          <w:lang w:val="fr-FR"/>
        </w:rPr>
        <w:t>État.</w:t>
      </w:r>
    </w:p>
    <w:bookmarkEnd w:id="1"/>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59</w:t>
      </w:r>
      <w:r w:rsidRPr="00874348">
        <w:rPr>
          <w:rFonts w:eastAsia="Times New Roman"/>
          <w:lang w:val="fr-FR"/>
        </w:rPr>
        <w:fldChar w:fldCharType="end"/>
      </w:r>
      <w:r w:rsidRPr="00874348">
        <w:rPr>
          <w:rFonts w:eastAsia="Times New Roman"/>
          <w:lang w:val="fr-FR"/>
        </w:rPr>
        <w:t>.  La Cour rappelle que l</w:t>
      </w:r>
      <w:r w:rsidR="00874348" w:rsidRPr="00874348">
        <w:rPr>
          <w:rFonts w:eastAsia="Times New Roman"/>
          <w:lang w:val="fr-FR"/>
        </w:rPr>
        <w:t>’</w:t>
      </w:r>
      <w:r w:rsidRPr="00874348">
        <w:rPr>
          <w:rFonts w:eastAsia="Times New Roman"/>
          <w:lang w:val="fr-FR"/>
        </w:rPr>
        <w:t>article 6 § 1 garantit à chacun le droit à ce qu</w:t>
      </w:r>
      <w:r w:rsidR="00874348" w:rsidRPr="00874348">
        <w:rPr>
          <w:rFonts w:eastAsia="Times New Roman"/>
          <w:lang w:val="fr-FR"/>
        </w:rPr>
        <w:t>’</w:t>
      </w:r>
      <w:r w:rsidRPr="00874348">
        <w:rPr>
          <w:rFonts w:eastAsia="Times New Roman"/>
          <w:lang w:val="fr-FR"/>
        </w:rPr>
        <w:t>un tribunal connaisse de toute contestation relative à ses droits et obligations de caractère civil ; il consacre de la sorte le « droit à un tribunal », dont le droit d</w:t>
      </w:r>
      <w:r w:rsidR="00874348" w:rsidRPr="00874348">
        <w:rPr>
          <w:rFonts w:eastAsia="Times New Roman"/>
          <w:lang w:val="fr-FR"/>
        </w:rPr>
        <w:t>’</w:t>
      </w:r>
      <w:r w:rsidRPr="00874348">
        <w:rPr>
          <w:rFonts w:eastAsia="Times New Roman"/>
          <w:lang w:val="fr-FR"/>
        </w:rPr>
        <w:t>accès, à savoir le droit de saisir un tribunal en matière civile, constitue un aspect. Toutefois, ce droit serait illusoire si l</w:t>
      </w:r>
      <w:r w:rsidR="00874348" w:rsidRPr="00874348">
        <w:rPr>
          <w:rFonts w:eastAsia="Times New Roman"/>
          <w:lang w:val="fr-FR"/>
        </w:rPr>
        <w:t>’</w:t>
      </w:r>
      <w:r w:rsidRPr="00874348">
        <w:rPr>
          <w:rFonts w:eastAsia="Times New Roman"/>
          <w:lang w:val="fr-FR"/>
        </w:rPr>
        <w:t>ordre juridique interne d</w:t>
      </w:r>
      <w:r w:rsidR="00874348" w:rsidRPr="00874348">
        <w:rPr>
          <w:rFonts w:eastAsia="Times New Roman"/>
          <w:lang w:val="fr-FR"/>
        </w:rPr>
        <w:t>’</w:t>
      </w:r>
      <w:r w:rsidRPr="00874348">
        <w:rPr>
          <w:rFonts w:eastAsia="Times New Roman"/>
          <w:lang w:val="fr-FR"/>
        </w:rPr>
        <w:t>un État contractant permettait qu</w:t>
      </w:r>
      <w:r w:rsidR="00874348" w:rsidRPr="00874348">
        <w:rPr>
          <w:rFonts w:eastAsia="Times New Roman"/>
          <w:lang w:val="fr-FR"/>
        </w:rPr>
        <w:t>’</w:t>
      </w:r>
      <w:r w:rsidRPr="00874348">
        <w:rPr>
          <w:rFonts w:eastAsia="Times New Roman"/>
          <w:lang w:val="fr-FR"/>
        </w:rPr>
        <w:t>une décision judiciaire définitive et obligatoire reste inopérante au détriment d</w:t>
      </w:r>
      <w:r w:rsidR="00874348" w:rsidRPr="00874348">
        <w:rPr>
          <w:rFonts w:eastAsia="Times New Roman"/>
          <w:lang w:val="fr-FR"/>
        </w:rPr>
        <w:t>’</w:t>
      </w:r>
      <w:r w:rsidRPr="00874348">
        <w:rPr>
          <w:rFonts w:eastAsia="Times New Roman"/>
          <w:lang w:val="fr-FR"/>
        </w:rPr>
        <w:t>une partie. On ne comprendrait pas que l</w:t>
      </w:r>
      <w:r w:rsidR="00874348" w:rsidRPr="00874348">
        <w:rPr>
          <w:rFonts w:eastAsia="Times New Roman"/>
          <w:lang w:val="fr-FR"/>
        </w:rPr>
        <w:t>’</w:t>
      </w:r>
      <w:r w:rsidRPr="00874348">
        <w:rPr>
          <w:rFonts w:eastAsia="Times New Roman"/>
          <w:lang w:val="fr-FR"/>
        </w:rPr>
        <w:t>article 6 § 1 décrive en détail les garanties de procédure – équité, publicité et célérité – accordées aux parties et qu</w:t>
      </w:r>
      <w:r w:rsidR="00874348" w:rsidRPr="00874348">
        <w:rPr>
          <w:rFonts w:eastAsia="Times New Roman"/>
          <w:lang w:val="fr-FR"/>
        </w:rPr>
        <w:t>’</w:t>
      </w:r>
      <w:r w:rsidRPr="00874348">
        <w:rPr>
          <w:rFonts w:eastAsia="Times New Roman"/>
          <w:lang w:val="fr-FR"/>
        </w:rPr>
        <w:t>il ne protège pas la mise en œuvre des décisions judiciaires. L</w:t>
      </w:r>
      <w:r w:rsidR="00874348" w:rsidRPr="00874348">
        <w:rPr>
          <w:rFonts w:eastAsia="Times New Roman"/>
          <w:lang w:val="fr-FR"/>
        </w:rPr>
        <w:t>’</w:t>
      </w:r>
      <w:r w:rsidRPr="00874348">
        <w:rPr>
          <w:rFonts w:eastAsia="Times New Roman"/>
          <w:lang w:val="fr-FR"/>
        </w:rPr>
        <w:t>exécution d</w:t>
      </w:r>
      <w:r w:rsidR="00874348" w:rsidRPr="00874348">
        <w:rPr>
          <w:rFonts w:eastAsia="Times New Roman"/>
          <w:lang w:val="fr-FR"/>
        </w:rPr>
        <w:t>’</w:t>
      </w:r>
      <w:r w:rsidRPr="00874348">
        <w:rPr>
          <w:rFonts w:eastAsia="Times New Roman"/>
          <w:lang w:val="fr-FR"/>
        </w:rPr>
        <w:t>un jugement ou arrêt, de quelque juridiction que ce soit, doit donc être considérée comme faisant partie intégrante du « procès » au sens de l</w:t>
      </w:r>
      <w:r w:rsidR="00874348" w:rsidRPr="00874348">
        <w:rPr>
          <w:rFonts w:eastAsia="Times New Roman"/>
          <w:lang w:val="fr-FR"/>
        </w:rPr>
        <w:t>’</w:t>
      </w:r>
      <w:r w:rsidR="00313171" w:rsidRPr="00874348">
        <w:rPr>
          <w:rFonts w:eastAsia="Times New Roman"/>
          <w:lang w:val="fr-FR"/>
        </w:rPr>
        <w:t>article </w:t>
      </w:r>
      <w:r w:rsidRPr="00874348">
        <w:rPr>
          <w:rFonts w:eastAsia="Times New Roman"/>
          <w:lang w:val="fr-FR"/>
        </w:rPr>
        <w:t>6 (</w:t>
      </w:r>
      <w:r w:rsidRPr="00874348">
        <w:rPr>
          <w:rFonts w:eastAsia="Times New Roman"/>
          <w:i/>
          <w:lang w:val="fr-FR"/>
        </w:rPr>
        <w:t>Hornsby c. Grèce</w:t>
      </w:r>
      <w:r w:rsidRPr="00874348">
        <w:rPr>
          <w:rFonts w:eastAsia="Times New Roman"/>
          <w:lang w:val="fr-FR"/>
        </w:rPr>
        <w:t xml:space="preserve">, arrêt du 19 mars 1997, </w:t>
      </w:r>
      <w:r w:rsidRPr="00874348">
        <w:rPr>
          <w:i/>
          <w:lang w:val="fr-FR"/>
        </w:rPr>
        <w:t>Recueil des arrêts et décisions</w:t>
      </w:r>
      <w:r w:rsidRPr="00874348">
        <w:rPr>
          <w:lang w:val="fr-FR"/>
        </w:rPr>
        <w:t xml:space="preserve"> </w:t>
      </w:r>
      <w:r w:rsidRPr="00874348">
        <w:rPr>
          <w:rFonts w:eastAsia="Times New Roman"/>
          <w:lang w:val="fr-FR"/>
        </w:rPr>
        <w:t xml:space="preserve">1997-II, p. 510, § 40, </w:t>
      </w:r>
      <w:r w:rsidRPr="00874348">
        <w:rPr>
          <w:rFonts w:eastAsia="Times New Roman"/>
          <w:i/>
          <w:lang w:val="fr-FR"/>
        </w:rPr>
        <w:t>Bourdov c. Russie</w:t>
      </w:r>
      <w:r w:rsidRPr="00874348">
        <w:rPr>
          <w:rFonts w:eastAsia="Times New Roman"/>
          <w:lang w:val="fr-FR"/>
        </w:rPr>
        <w:t>, n</w:t>
      </w:r>
      <w:r w:rsidRPr="00874348">
        <w:rPr>
          <w:rFonts w:eastAsia="Times New Roman"/>
          <w:vertAlign w:val="superscript"/>
          <w:lang w:val="fr-FR"/>
        </w:rPr>
        <w:t>o</w:t>
      </w:r>
      <w:r w:rsidRPr="00874348">
        <w:rPr>
          <w:rFonts w:eastAsia="Times New Roman"/>
          <w:lang w:val="fr-FR"/>
        </w:rPr>
        <w:t xml:space="preserve"> 59498/00, § 34, CEDH 2002</w:t>
      </w:r>
      <w:r w:rsidRPr="00874348">
        <w:rPr>
          <w:rFonts w:eastAsia="Times New Roman"/>
          <w:lang w:val="fr-FR"/>
        </w:rPr>
        <w:noBreakHyphen/>
        <w:t>III).</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60</w:t>
      </w:r>
      <w:r w:rsidRPr="00874348">
        <w:rPr>
          <w:rFonts w:eastAsia="Times New Roman"/>
          <w:lang w:val="fr-FR"/>
        </w:rPr>
        <w:fldChar w:fldCharType="end"/>
      </w:r>
      <w:r w:rsidRPr="00874348">
        <w:rPr>
          <w:rFonts w:eastAsia="Times New Roman"/>
          <w:lang w:val="fr-FR"/>
        </w:rPr>
        <w:t>.  En outre, si un retard dans l</w:t>
      </w:r>
      <w:r w:rsidR="00874348" w:rsidRPr="00874348">
        <w:rPr>
          <w:rFonts w:eastAsia="Times New Roman"/>
          <w:lang w:val="fr-FR"/>
        </w:rPr>
        <w:t>’</w:t>
      </w:r>
      <w:r w:rsidRPr="00874348">
        <w:rPr>
          <w:rFonts w:eastAsia="Times New Roman"/>
          <w:lang w:val="fr-FR"/>
        </w:rPr>
        <w:t>exécution d</w:t>
      </w:r>
      <w:r w:rsidR="00874348" w:rsidRPr="00874348">
        <w:rPr>
          <w:rFonts w:eastAsia="Times New Roman"/>
          <w:lang w:val="fr-FR"/>
        </w:rPr>
        <w:t>’</w:t>
      </w:r>
      <w:r w:rsidRPr="00874348">
        <w:rPr>
          <w:rFonts w:eastAsia="Times New Roman"/>
          <w:lang w:val="fr-FR"/>
        </w:rPr>
        <w:t>un jugement peut se justifier dans des circonstances particulières, ce retard ne peut avoir pour conséquence une atteinte à la substance même du droit protégé par l</w:t>
      </w:r>
      <w:r w:rsidR="00874348" w:rsidRPr="00874348">
        <w:rPr>
          <w:rFonts w:eastAsia="Times New Roman"/>
          <w:lang w:val="fr-FR"/>
        </w:rPr>
        <w:t>’</w:t>
      </w:r>
      <w:r w:rsidR="00313171" w:rsidRPr="00874348">
        <w:rPr>
          <w:rFonts w:eastAsia="Times New Roman"/>
          <w:lang w:val="fr-FR"/>
        </w:rPr>
        <w:t xml:space="preserve">article 6 </w:t>
      </w:r>
      <w:r w:rsidRPr="00874348">
        <w:rPr>
          <w:rFonts w:eastAsia="Times New Roman"/>
          <w:lang w:val="fr-FR"/>
        </w:rPr>
        <w:t>§ 1 (</w:t>
      </w:r>
      <w:r w:rsidRPr="00874348">
        <w:rPr>
          <w:rFonts w:eastAsia="Times New Roman"/>
          <w:i/>
          <w:lang w:val="fr-FR"/>
        </w:rPr>
        <w:t>Immobiliare Saffi c. Italie</w:t>
      </w:r>
      <w:r w:rsidRPr="00874348">
        <w:rPr>
          <w:rFonts w:eastAsia="Times New Roman"/>
          <w:lang w:val="fr-FR"/>
        </w:rPr>
        <w:t xml:space="preserve"> [GC], no </w:t>
      </w:r>
      <w:hyperlink r:id="rId17" w:anchor="{&quot;appno&quot;:[&quot;22774/93&quot;]}" w:tgtFrame="_blank" w:history="1">
        <w:r w:rsidRPr="00874348">
          <w:rPr>
            <w:rFonts w:eastAsia="Times New Roman"/>
            <w:lang w:val="fr-FR"/>
          </w:rPr>
          <w:t>22774/93</w:t>
        </w:r>
      </w:hyperlink>
      <w:r w:rsidRPr="00874348">
        <w:rPr>
          <w:rFonts w:eastAsia="Times New Roman"/>
          <w:lang w:val="fr-FR"/>
        </w:rPr>
        <w:t xml:space="preserve">, § 74, CEDH 1999-V, </w:t>
      </w:r>
      <w:r w:rsidRPr="00874348">
        <w:rPr>
          <w:rFonts w:eastAsia="Times New Roman"/>
          <w:i/>
          <w:lang w:val="fr-FR"/>
        </w:rPr>
        <w:t>Bourdov,</w:t>
      </w:r>
      <w:r w:rsidRPr="00874348">
        <w:rPr>
          <w:rFonts w:eastAsia="Times New Roman"/>
          <w:lang w:val="fr-FR"/>
        </w:rPr>
        <w:t xml:space="preserve"> précité, § 35 et </w:t>
      </w:r>
      <w:r w:rsidRPr="00874348">
        <w:rPr>
          <w:rFonts w:eastAsia="Times New Roman"/>
          <w:i/>
          <w:lang w:val="fr-FR"/>
        </w:rPr>
        <w:t>Romachov c. Ukraine</w:t>
      </w:r>
      <w:r w:rsidRPr="00874348">
        <w:rPr>
          <w:rFonts w:eastAsia="Times New Roman"/>
          <w:iCs/>
          <w:lang w:val="fr-FR"/>
        </w:rPr>
        <w:t>,</w:t>
      </w:r>
      <w:r w:rsidRPr="00874348">
        <w:rPr>
          <w:rFonts w:eastAsia="Times New Roman"/>
          <w:lang w:val="fr-FR"/>
        </w:rPr>
        <w:t xml:space="preserve"> n</w:t>
      </w:r>
      <w:r w:rsidRPr="00874348">
        <w:rPr>
          <w:rFonts w:eastAsia="Times New Roman"/>
          <w:vertAlign w:val="superscript"/>
          <w:lang w:val="fr-FR"/>
        </w:rPr>
        <w:t>o</w:t>
      </w:r>
      <w:r w:rsidRPr="00874348">
        <w:rPr>
          <w:rFonts w:eastAsia="Times New Roman"/>
          <w:lang w:val="fr-FR"/>
        </w:rPr>
        <w:t xml:space="preserve"> 67534/01, § 43, 27 juillet</w:t>
      </w:r>
      <w:r w:rsidR="00313171" w:rsidRPr="00874348">
        <w:rPr>
          <w:rFonts w:eastAsia="Times New Roman"/>
          <w:lang w:val="fr-FR"/>
        </w:rPr>
        <w:t xml:space="preserve"> </w:t>
      </w:r>
      <w:r w:rsidRPr="00874348">
        <w:rPr>
          <w:rFonts w:eastAsia="Times New Roman"/>
          <w:lang w:val="fr-FR"/>
        </w:rPr>
        <w:t>2004).</w:t>
      </w:r>
    </w:p>
    <w:p w:rsidR="00506071" w:rsidRPr="00874348" w:rsidRDefault="00506071" w:rsidP="00874348">
      <w:pPr>
        <w:pStyle w:val="ECHRPara"/>
        <w:rPr>
          <w:rFonts w:eastAsia="Times New Roman" w:cs="Calibri"/>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61</w:t>
      </w:r>
      <w:r w:rsidRPr="00874348">
        <w:rPr>
          <w:rFonts w:eastAsia="Times New Roman"/>
          <w:lang w:val="fr-FR"/>
        </w:rPr>
        <w:fldChar w:fldCharType="end"/>
      </w:r>
      <w:r w:rsidRPr="00874348">
        <w:rPr>
          <w:rFonts w:eastAsia="Times New Roman"/>
          <w:lang w:val="fr-FR"/>
        </w:rPr>
        <w:t>.  Venant au cas d</w:t>
      </w:r>
      <w:r w:rsidR="00874348" w:rsidRPr="00874348">
        <w:rPr>
          <w:rFonts w:eastAsia="Times New Roman"/>
          <w:lang w:val="fr-FR"/>
        </w:rPr>
        <w:t>’</w:t>
      </w:r>
      <w:r w:rsidRPr="00874348">
        <w:rPr>
          <w:rFonts w:eastAsia="Times New Roman"/>
          <w:lang w:val="fr-FR"/>
        </w:rPr>
        <w:t xml:space="preserve">espèce, la Cour rappelle </w:t>
      </w:r>
      <w:r w:rsidRPr="00874348">
        <w:rPr>
          <w:rFonts w:eastAsia="Times New Roman" w:cs="Calibri"/>
          <w:lang w:val="fr-FR"/>
        </w:rPr>
        <w:t>que les sept requérants en cause font tous partie de la même procédure en dédommagement, dénommée « </w:t>
      </w:r>
      <w:r w:rsidRPr="00874348">
        <w:rPr>
          <w:rFonts w:eastAsia="Times New Roman" w:cs="Calibri"/>
          <w:i/>
          <w:lang w:val="fr-FR"/>
        </w:rPr>
        <w:t>Emo-ter</w:t>
      </w:r>
      <w:r w:rsidRPr="00874348">
        <w:rPr>
          <w:rFonts w:eastAsia="Times New Roman" w:cs="Calibri"/>
          <w:lang w:val="fr-FR"/>
        </w:rPr>
        <w:t> ».</w:t>
      </w:r>
    </w:p>
    <w:p w:rsidR="00506071" w:rsidRPr="00874348" w:rsidRDefault="00506071" w:rsidP="00874348">
      <w:pPr>
        <w:pStyle w:val="ECHRPara"/>
        <w:rPr>
          <w:rFonts w:eastAsia="Times New Roman" w:cs="Calibri"/>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62</w:t>
      </w:r>
      <w:r w:rsidRPr="00874348">
        <w:rPr>
          <w:rFonts w:eastAsia="Times New Roman" w:cs="Calibri"/>
          <w:lang w:val="fr-FR"/>
        </w:rPr>
        <w:fldChar w:fldCharType="end"/>
      </w:r>
      <w:r w:rsidRPr="00874348">
        <w:rPr>
          <w:rFonts w:eastAsia="Times New Roman" w:cs="Calibri"/>
          <w:lang w:val="fr-FR"/>
        </w:rPr>
        <w:t>.  Dans le cadre de celle-ci, ils ont obtenu un jugement favorable prononcé en première instance par le tribunal civil de Rome le 29 août 2005, ayant conclu à la condamnation du ministère de la Santé à leur dédommagement. Cette procédure est à ce-jour pendante en appel.</w:t>
      </w:r>
    </w:p>
    <w:p w:rsidR="00506071" w:rsidRPr="00874348" w:rsidRDefault="00506071" w:rsidP="00874348">
      <w:pPr>
        <w:pStyle w:val="ECHRPara"/>
        <w:rPr>
          <w:rFonts w:eastAsia="Times New Roman" w:cs="Calibri"/>
          <w:lang w:val="fr-FR"/>
        </w:rPr>
      </w:pPr>
      <w:r w:rsidRPr="00874348">
        <w:rPr>
          <w:rFonts w:eastAsia="Times New Roman" w:cs="Calibri"/>
          <w:lang w:val="fr-FR"/>
        </w:rPr>
        <w:lastRenderedPageBreak/>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63</w:t>
      </w:r>
      <w:r w:rsidRPr="00874348">
        <w:rPr>
          <w:rFonts w:eastAsia="Times New Roman" w:cs="Calibri"/>
          <w:lang w:val="fr-FR"/>
        </w:rPr>
        <w:fldChar w:fldCharType="end"/>
      </w:r>
      <w:r w:rsidRPr="00874348">
        <w:rPr>
          <w:rFonts w:eastAsia="Times New Roman" w:cs="Calibri"/>
          <w:lang w:val="fr-FR"/>
        </w:rPr>
        <w:t>.  En septembre et octobre 2009, les requérants ont obtenu la quantification de la somme du dédommagement à laquelle ils avaient droit. Les décisions y relatives n</w:t>
      </w:r>
      <w:r w:rsidR="00874348" w:rsidRPr="00874348">
        <w:rPr>
          <w:rFonts w:eastAsia="Times New Roman" w:cs="Calibri"/>
          <w:lang w:val="fr-FR"/>
        </w:rPr>
        <w:t>’</w:t>
      </w:r>
      <w:r w:rsidRPr="00874348">
        <w:rPr>
          <w:rFonts w:eastAsia="Times New Roman" w:cs="Calibri"/>
          <w:lang w:val="fr-FR"/>
        </w:rPr>
        <w:t>ont pas été attaquées et sont donc devenues définitives.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64</w:t>
      </w:r>
      <w:r w:rsidRPr="00874348">
        <w:rPr>
          <w:rFonts w:eastAsia="Times New Roman"/>
          <w:lang w:val="fr-FR"/>
        </w:rPr>
        <w:fldChar w:fldCharType="end"/>
      </w:r>
      <w:r w:rsidRPr="00874348">
        <w:rPr>
          <w:rFonts w:eastAsia="Times New Roman"/>
          <w:lang w:val="fr-FR"/>
        </w:rPr>
        <w:t>.  La Cour note, en outre, que plusieurs autres requérants</w:t>
      </w:r>
      <w:r w:rsidRPr="00874348">
        <w:rPr>
          <w:rFonts w:eastAsia="Times New Roman"/>
          <w:vertAlign w:val="superscript"/>
          <w:lang w:val="fr-FR"/>
        </w:rPr>
        <w:footnoteReference w:id="10"/>
      </w:r>
      <w:r w:rsidRPr="00874348">
        <w:rPr>
          <w:rFonts w:eastAsia="Times New Roman"/>
          <w:lang w:val="fr-FR"/>
        </w:rPr>
        <w:t>, parties dans la procédure « </w:t>
      </w:r>
      <w:r w:rsidRPr="00874348">
        <w:rPr>
          <w:rFonts w:eastAsia="Times New Roman"/>
          <w:i/>
          <w:lang w:val="fr-FR"/>
        </w:rPr>
        <w:t>Emo-ter »</w:t>
      </w:r>
      <w:r w:rsidRPr="00874348">
        <w:rPr>
          <w:rFonts w:eastAsia="Times New Roman"/>
          <w:lang w:val="fr-FR"/>
        </w:rPr>
        <w:t xml:space="preserve"> tout comme les sept requérants dont il est question ici, ont obtenu l</w:t>
      </w:r>
      <w:r w:rsidR="00874348" w:rsidRPr="00874348">
        <w:rPr>
          <w:rFonts w:eastAsia="Times New Roman"/>
          <w:lang w:val="fr-FR"/>
        </w:rPr>
        <w:t>’</w:t>
      </w:r>
      <w:r w:rsidRPr="00874348">
        <w:rPr>
          <w:rFonts w:eastAsia="Times New Roman"/>
          <w:lang w:val="fr-FR"/>
        </w:rPr>
        <w:t>exécution des décisions qui leur étaient favorables (pour les détails, voir le tableau en annexe). La Cour remarque que le Gouvernement n</w:t>
      </w:r>
      <w:r w:rsidR="00874348" w:rsidRPr="00874348">
        <w:rPr>
          <w:rFonts w:eastAsia="Times New Roman"/>
          <w:lang w:val="fr-FR"/>
        </w:rPr>
        <w:t>’</w:t>
      </w:r>
      <w:r w:rsidRPr="00874348">
        <w:rPr>
          <w:rFonts w:eastAsia="Times New Roman"/>
          <w:lang w:val="fr-FR"/>
        </w:rPr>
        <w:t>a fourni aucun argument de nature à expliquer l</w:t>
      </w:r>
      <w:r w:rsidR="00874348" w:rsidRPr="00874348">
        <w:rPr>
          <w:rFonts w:eastAsia="Times New Roman"/>
          <w:lang w:val="fr-FR"/>
        </w:rPr>
        <w:t>’</w:t>
      </w:r>
      <w:r w:rsidRPr="00874348">
        <w:rPr>
          <w:rFonts w:eastAsia="Times New Roman"/>
          <w:lang w:val="fr-FR"/>
        </w:rPr>
        <w:t>inexécution des décisions vis-à-vis des sept requérants en cause par rapport à d</w:t>
      </w:r>
      <w:r w:rsidR="00874348" w:rsidRPr="00874348">
        <w:rPr>
          <w:rFonts w:eastAsia="Times New Roman"/>
          <w:lang w:val="fr-FR"/>
        </w:rPr>
        <w:t>’</w:t>
      </w:r>
      <w:r w:rsidRPr="00874348">
        <w:rPr>
          <w:rFonts w:eastAsia="Times New Roman"/>
          <w:lang w:val="fr-FR"/>
        </w:rPr>
        <w:t>autres parties.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65</w:t>
      </w:r>
      <w:r w:rsidRPr="00874348">
        <w:rPr>
          <w:rFonts w:eastAsia="Times New Roman"/>
          <w:lang w:val="fr-FR"/>
        </w:rPr>
        <w:fldChar w:fldCharType="end"/>
      </w:r>
      <w:r w:rsidRPr="00874348">
        <w:rPr>
          <w:rFonts w:eastAsia="Times New Roman"/>
          <w:lang w:val="fr-FR"/>
        </w:rPr>
        <w:t>.  Elle estime donc que ceux-ci n</w:t>
      </w:r>
      <w:r w:rsidR="00874348" w:rsidRPr="00874348">
        <w:rPr>
          <w:rFonts w:eastAsia="Times New Roman"/>
          <w:lang w:val="fr-FR"/>
        </w:rPr>
        <w:t>’</w:t>
      </w:r>
      <w:r w:rsidRPr="00874348">
        <w:rPr>
          <w:rFonts w:eastAsia="Times New Roman"/>
          <w:lang w:val="fr-FR"/>
        </w:rPr>
        <w:t>auraient pas dû se trouver dans l</w:t>
      </w:r>
      <w:r w:rsidR="00874348" w:rsidRPr="00874348">
        <w:rPr>
          <w:rFonts w:eastAsia="Times New Roman"/>
          <w:lang w:val="fr-FR"/>
        </w:rPr>
        <w:t>’</w:t>
      </w:r>
      <w:r w:rsidRPr="00874348">
        <w:rPr>
          <w:rFonts w:eastAsia="Times New Roman"/>
          <w:lang w:val="fr-FR"/>
        </w:rPr>
        <w:t>impossibilité de bénéficier de la mise en œuvre des décisions rendues en leur faveur, d</w:t>
      </w:r>
      <w:r w:rsidR="00874348" w:rsidRPr="00874348">
        <w:rPr>
          <w:rFonts w:eastAsia="Times New Roman"/>
          <w:lang w:val="fr-FR"/>
        </w:rPr>
        <w:t>’</w:t>
      </w:r>
      <w:r w:rsidRPr="00874348">
        <w:rPr>
          <w:rFonts w:eastAsia="Times New Roman"/>
          <w:lang w:val="fr-FR"/>
        </w:rPr>
        <w:t>autant plus qu</w:t>
      </w:r>
      <w:r w:rsidR="00874348" w:rsidRPr="00874348">
        <w:rPr>
          <w:rFonts w:eastAsia="Times New Roman"/>
          <w:lang w:val="fr-FR"/>
        </w:rPr>
        <w:t>’</w:t>
      </w:r>
      <w:r w:rsidRPr="00874348">
        <w:rPr>
          <w:rFonts w:eastAsia="Times New Roman"/>
          <w:lang w:val="fr-FR"/>
        </w:rPr>
        <w:t>il s</w:t>
      </w:r>
      <w:r w:rsidR="00874348" w:rsidRPr="00874348">
        <w:rPr>
          <w:rFonts w:eastAsia="Times New Roman"/>
          <w:lang w:val="fr-FR"/>
        </w:rPr>
        <w:t>’</w:t>
      </w:r>
      <w:r w:rsidRPr="00874348">
        <w:rPr>
          <w:rFonts w:eastAsia="Times New Roman"/>
          <w:lang w:val="fr-FR"/>
        </w:rPr>
        <w:t>agissait d</w:t>
      </w:r>
      <w:r w:rsidR="00874348" w:rsidRPr="00874348">
        <w:rPr>
          <w:rFonts w:eastAsia="Times New Roman"/>
          <w:lang w:val="fr-FR"/>
        </w:rPr>
        <w:t>’</w:t>
      </w:r>
      <w:r w:rsidRPr="00874348">
        <w:rPr>
          <w:rFonts w:eastAsia="Times New Roman"/>
          <w:lang w:val="fr-FR"/>
        </w:rPr>
        <w:t>une matière délicate, à savoir la réparation d</w:t>
      </w:r>
      <w:r w:rsidR="00874348" w:rsidRPr="00874348">
        <w:rPr>
          <w:rFonts w:eastAsia="Times New Roman"/>
          <w:lang w:val="fr-FR"/>
        </w:rPr>
        <w:t>’</w:t>
      </w:r>
      <w:r w:rsidRPr="00874348">
        <w:rPr>
          <w:rFonts w:eastAsia="Times New Roman"/>
          <w:lang w:val="fr-FR"/>
        </w:rPr>
        <w:t>un dommage causé à leur santé à la suite d</w:t>
      </w:r>
      <w:r w:rsidR="00874348" w:rsidRPr="00874348">
        <w:rPr>
          <w:rFonts w:eastAsia="Times New Roman"/>
          <w:lang w:val="fr-FR"/>
        </w:rPr>
        <w:t>’</w:t>
      </w:r>
      <w:r w:rsidRPr="00874348">
        <w:rPr>
          <w:rFonts w:eastAsia="Times New Roman"/>
          <w:lang w:val="fr-FR"/>
        </w:rPr>
        <w:t>une infection post-transfusionnelle.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66</w:t>
      </w:r>
      <w:r w:rsidRPr="00874348">
        <w:rPr>
          <w:rFonts w:eastAsia="Times New Roman"/>
          <w:lang w:val="fr-FR"/>
        </w:rPr>
        <w:fldChar w:fldCharType="end"/>
      </w:r>
      <w:r w:rsidRPr="00874348">
        <w:rPr>
          <w:rFonts w:eastAsia="Times New Roman"/>
          <w:lang w:val="fr-FR"/>
        </w:rPr>
        <w:t>.  Partant, il y a eu de conclure en l</w:t>
      </w:r>
      <w:r w:rsidR="00874348" w:rsidRPr="00874348">
        <w:rPr>
          <w:rFonts w:eastAsia="Times New Roman"/>
          <w:lang w:val="fr-FR"/>
        </w:rPr>
        <w:t>’</w:t>
      </w:r>
      <w:r w:rsidRPr="00874348">
        <w:rPr>
          <w:rFonts w:eastAsia="Times New Roman"/>
          <w:lang w:val="fr-FR"/>
        </w:rPr>
        <w:t>espèce à violation de l</w:t>
      </w:r>
      <w:r w:rsidR="00874348" w:rsidRPr="00874348">
        <w:rPr>
          <w:rFonts w:eastAsia="Times New Roman"/>
          <w:lang w:val="fr-FR"/>
        </w:rPr>
        <w:t>’</w:t>
      </w:r>
      <w:r w:rsidRPr="00874348">
        <w:rPr>
          <w:rFonts w:eastAsia="Times New Roman"/>
          <w:lang w:val="fr-FR"/>
        </w:rPr>
        <w:t>article 6 § 1 de la Convention.</w:t>
      </w:r>
    </w:p>
    <w:p w:rsidR="00506071" w:rsidRPr="00874348" w:rsidRDefault="00506071" w:rsidP="00874348">
      <w:pPr>
        <w:pStyle w:val="ECHRHeading3"/>
        <w:rPr>
          <w:rFonts w:eastAsia="Times New Roman"/>
          <w:lang w:val="fr-FR"/>
        </w:rPr>
      </w:pPr>
      <w:r w:rsidRPr="00874348">
        <w:rPr>
          <w:rFonts w:eastAsia="Times New Roman"/>
          <w:lang w:val="fr-FR"/>
        </w:rPr>
        <w:t>2.  Concernant la violation alléguée de l</w:t>
      </w:r>
      <w:r w:rsidR="00874348" w:rsidRPr="00874348">
        <w:rPr>
          <w:rFonts w:eastAsia="Times New Roman"/>
          <w:lang w:val="fr-FR"/>
        </w:rPr>
        <w:t>’</w:t>
      </w:r>
      <w:r w:rsidRPr="00874348">
        <w:rPr>
          <w:rFonts w:eastAsia="Times New Roman"/>
          <w:lang w:val="fr-FR"/>
        </w:rPr>
        <w:t>article 1 du Protocole n</w:t>
      </w:r>
      <w:r w:rsidRPr="00874348">
        <w:rPr>
          <w:rFonts w:eastAsia="Times New Roman"/>
          <w:vertAlign w:val="superscript"/>
          <w:lang w:val="fr-FR"/>
        </w:rPr>
        <w:t>o</w:t>
      </w:r>
      <w:r w:rsidRPr="00874348">
        <w:rPr>
          <w:rFonts w:eastAsia="Times New Roman"/>
          <w:lang w:val="fr-FR"/>
        </w:rPr>
        <w:t xml:space="preserve"> 1</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67</w:t>
      </w:r>
      <w:r w:rsidRPr="00874348">
        <w:rPr>
          <w:rFonts w:eastAsia="Times New Roman"/>
          <w:lang w:val="fr-FR"/>
        </w:rPr>
        <w:fldChar w:fldCharType="end"/>
      </w:r>
      <w:r w:rsidRPr="00874348">
        <w:rPr>
          <w:rFonts w:eastAsia="Times New Roman"/>
          <w:lang w:val="fr-FR"/>
        </w:rPr>
        <w:t>.  Le Gouvernement n</w:t>
      </w:r>
      <w:r w:rsidR="00874348" w:rsidRPr="00874348">
        <w:rPr>
          <w:rFonts w:eastAsia="Times New Roman"/>
          <w:lang w:val="fr-FR"/>
        </w:rPr>
        <w:t>’</w:t>
      </w:r>
      <w:r w:rsidRPr="00874348">
        <w:rPr>
          <w:rFonts w:eastAsia="Times New Roman"/>
          <w:lang w:val="fr-FR"/>
        </w:rPr>
        <w:t>a pas présenté d</w:t>
      </w:r>
      <w:r w:rsidR="00874348" w:rsidRPr="00874348">
        <w:rPr>
          <w:rFonts w:eastAsia="Times New Roman"/>
          <w:lang w:val="fr-FR"/>
        </w:rPr>
        <w:t>’</w:t>
      </w:r>
      <w:r w:rsidRPr="00874348">
        <w:rPr>
          <w:rFonts w:eastAsia="Times New Roman"/>
          <w:lang w:val="fr-FR"/>
        </w:rPr>
        <w:t>observations sur le fond de ce grief.</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68</w:t>
      </w:r>
      <w:r w:rsidRPr="00874348">
        <w:rPr>
          <w:rFonts w:eastAsia="Times New Roman"/>
          <w:lang w:val="fr-FR"/>
        </w:rPr>
        <w:fldChar w:fldCharType="end"/>
      </w:r>
      <w:r w:rsidRPr="00874348">
        <w:rPr>
          <w:rFonts w:eastAsia="Times New Roman"/>
          <w:lang w:val="fr-FR"/>
        </w:rPr>
        <w:t>.  Les requérants réitèrent leur doléance.</w:t>
      </w:r>
    </w:p>
    <w:p w:rsidR="00506071" w:rsidRPr="00874348" w:rsidRDefault="00506071" w:rsidP="00874348">
      <w:pPr>
        <w:pStyle w:val="ECHRPara"/>
        <w:rPr>
          <w:rFonts w:eastAsia="Times New Roman"/>
          <w:szCs w:val="24"/>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69</w:t>
      </w:r>
      <w:r w:rsidRPr="00874348">
        <w:rPr>
          <w:rFonts w:eastAsia="Times New Roman"/>
          <w:lang w:val="fr-FR"/>
        </w:rPr>
        <w:fldChar w:fldCharType="end"/>
      </w:r>
      <w:r w:rsidRPr="00874348">
        <w:rPr>
          <w:rFonts w:eastAsia="Times New Roman"/>
          <w:lang w:val="fr-FR"/>
        </w:rPr>
        <w:t>.  La Cour rappelle qu</w:t>
      </w:r>
      <w:r w:rsidR="00874348" w:rsidRPr="00874348">
        <w:rPr>
          <w:rFonts w:eastAsia="Times New Roman"/>
          <w:lang w:val="fr-FR"/>
        </w:rPr>
        <w:t>’</w:t>
      </w:r>
      <w:r w:rsidRPr="00874348">
        <w:rPr>
          <w:rFonts w:eastAsia="Times New Roman"/>
          <w:lang w:val="fr-FR"/>
        </w:rPr>
        <w:t>une « créance » peut constituer un « bien » au sens de l</w:t>
      </w:r>
      <w:r w:rsidR="00874348" w:rsidRPr="00874348">
        <w:rPr>
          <w:rFonts w:eastAsia="Times New Roman"/>
          <w:lang w:val="fr-FR"/>
        </w:rPr>
        <w:t>’</w:t>
      </w:r>
      <w:r w:rsidRPr="00874348">
        <w:rPr>
          <w:rFonts w:eastAsia="Times New Roman"/>
          <w:lang w:val="fr-FR"/>
        </w:rPr>
        <w:t>article 1 du Protocole n</w:t>
      </w:r>
      <w:r w:rsidRPr="00874348">
        <w:rPr>
          <w:rFonts w:eastAsia="Times New Roman"/>
          <w:vertAlign w:val="superscript"/>
          <w:lang w:val="fr-FR"/>
        </w:rPr>
        <w:t>o</w:t>
      </w:r>
      <w:r w:rsidRPr="00874348">
        <w:rPr>
          <w:rFonts w:eastAsia="Times New Roman"/>
          <w:lang w:val="fr-FR"/>
        </w:rPr>
        <w:t xml:space="preserve"> 1 si elle est suffisamment établie pour être exigible (</w:t>
      </w:r>
      <w:r w:rsidRPr="00874348">
        <w:rPr>
          <w:rFonts w:eastAsia="Times New Roman"/>
          <w:i/>
          <w:lang w:val="fr-FR"/>
        </w:rPr>
        <w:t>Raffineries grecques Stran et Stratis Andreadis c. Grèce</w:t>
      </w:r>
      <w:r w:rsidRPr="00874348">
        <w:rPr>
          <w:rFonts w:eastAsia="Times New Roman"/>
          <w:lang w:val="fr-FR"/>
        </w:rPr>
        <w:t>, arrêt du 9 décembre 1994, série A n</w:t>
      </w:r>
      <w:r w:rsidRPr="00874348">
        <w:rPr>
          <w:rFonts w:eastAsia="Times New Roman"/>
          <w:vertAlign w:val="superscript"/>
          <w:lang w:val="fr-FR"/>
        </w:rPr>
        <w:t>o</w:t>
      </w:r>
      <w:r w:rsidRPr="00874348">
        <w:rPr>
          <w:rFonts w:eastAsia="Times New Roman"/>
          <w:lang w:val="fr-FR"/>
        </w:rPr>
        <w:t xml:space="preserve"> 301-B, p. 84, § 59 ; </w:t>
      </w:r>
      <w:r w:rsidRPr="00874348">
        <w:rPr>
          <w:rFonts w:eastAsia="Times New Roman"/>
          <w:i/>
          <w:szCs w:val="24"/>
          <w:lang w:val="fr-FR"/>
        </w:rPr>
        <w:t>Malinovski c. Russie</w:t>
      </w:r>
      <w:r w:rsidRPr="00874348">
        <w:rPr>
          <w:rFonts w:eastAsia="Times New Roman"/>
          <w:szCs w:val="24"/>
          <w:lang w:val="fr-FR"/>
        </w:rPr>
        <w:t>, n</w:t>
      </w:r>
      <w:r w:rsidRPr="00874348">
        <w:rPr>
          <w:rFonts w:eastAsia="Times New Roman"/>
          <w:szCs w:val="24"/>
          <w:vertAlign w:val="superscript"/>
          <w:lang w:val="fr-FR"/>
        </w:rPr>
        <w:t>o </w:t>
      </w:r>
      <w:r w:rsidRPr="00874348">
        <w:rPr>
          <w:rFonts w:eastAsia="Times New Roman"/>
          <w:szCs w:val="24"/>
          <w:lang w:val="fr-FR"/>
        </w:rPr>
        <w:t xml:space="preserve">41302/02, § 43, </w:t>
      </w:r>
      <w:r w:rsidRPr="00874348">
        <w:rPr>
          <w:rFonts w:eastAsia="Times New Roman"/>
          <w:lang w:val="fr-FR"/>
        </w:rPr>
        <w:t>CEDH 2005</w:t>
      </w:r>
      <w:r w:rsidRPr="00874348">
        <w:rPr>
          <w:rFonts w:eastAsia="Times New Roman"/>
          <w:lang w:val="fr-FR"/>
        </w:rPr>
        <w:noBreakHyphen/>
        <w:t>VII (extraits)). En outre, quelle que soit la complexité de ses procédures d</w:t>
      </w:r>
      <w:r w:rsidR="00874348" w:rsidRPr="00874348">
        <w:rPr>
          <w:rFonts w:eastAsia="Times New Roman"/>
          <w:lang w:val="fr-FR"/>
        </w:rPr>
        <w:t>’</w:t>
      </w:r>
      <w:r w:rsidRPr="00874348">
        <w:rPr>
          <w:rFonts w:eastAsia="Times New Roman"/>
          <w:lang w:val="fr-FR"/>
        </w:rPr>
        <w:t>exécution ou de son système budgétaire, l</w:t>
      </w:r>
      <w:r w:rsidR="00874348" w:rsidRPr="00874348">
        <w:rPr>
          <w:rFonts w:eastAsia="Times New Roman"/>
          <w:lang w:val="fr-FR"/>
        </w:rPr>
        <w:t>’</w:t>
      </w:r>
      <w:r w:rsidRPr="00874348">
        <w:rPr>
          <w:rFonts w:eastAsia="Times New Roman"/>
          <w:lang w:val="fr-FR"/>
        </w:rPr>
        <w:t>État demeure tenu par la Convention de garantir à toute personne le droit à ce que les jugements obligatoires et exécutoires rendus en sa faveur soient exécutés dans un délai raisonnable (</w:t>
      </w:r>
      <w:r w:rsidRPr="00874348">
        <w:rPr>
          <w:rFonts w:eastAsia="Times New Roman"/>
          <w:i/>
          <w:lang w:val="fr-FR" w:eastAsia="fr-FR"/>
        </w:rPr>
        <w:t>Bourdov c. Russie (n</w:t>
      </w:r>
      <w:r w:rsidRPr="00874348">
        <w:rPr>
          <w:rFonts w:eastAsia="Times New Roman"/>
          <w:i/>
          <w:vertAlign w:val="superscript"/>
          <w:lang w:val="fr-FR" w:eastAsia="fr-FR"/>
        </w:rPr>
        <w:t>o</w:t>
      </w:r>
      <w:r w:rsidRPr="00874348">
        <w:rPr>
          <w:rFonts w:eastAsia="Times New Roman"/>
          <w:i/>
          <w:lang w:val="fr-FR" w:eastAsia="fr-FR"/>
        </w:rPr>
        <w:t xml:space="preserve"> 2)</w:t>
      </w:r>
      <w:r w:rsidRPr="00874348">
        <w:rPr>
          <w:rFonts w:eastAsia="Times New Roman"/>
          <w:lang w:val="fr-FR" w:eastAsia="fr-FR"/>
        </w:rPr>
        <w:t>, n</w:t>
      </w:r>
      <w:r w:rsidRPr="00874348">
        <w:rPr>
          <w:rFonts w:eastAsia="Times New Roman"/>
          <w:vertAlign w:val="superscript"/>
          <w:lang w:val="fr-FR" w:eastAsia="fr-FR"/>
        </w:rPr>
        <w:t>o</w:t>
      </w:r>
      <w:r w:rsidRPr="00874348">
        <w:rPr>
          <w:rFonts w:eastAsia="Times New Roman"/>
          <w:lang w:val="fr-FR" w:eastAsia="fr-FR"/>
        </w:rPr>
        <w:t xml:space="preserve"> 33509/04, § 70, CEDH 2009</w:t>
      </w:r>
      <w:r w:rsidRPr="00874348">
        <w:rPr>
          <w:rFonts w:eastAsia="Times New Roman"/>
          <w:lang w:val="fr-FR"/>
        </w:rPr>
        <w: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70</w:t>
      </w:r>
      <w:r w:rsidRPr="00874348">
        <w:rPr>
          <w:rFonts w:eastAsia="Times New Roman"/>
          <w:lang w:val="fr-FR"/>
        </w:rPr>
        <w:fldChar w:fldCharType="end"/>
      </w:r>
      <w:r w:rsidRPr="00874348">
        <w:rPr>
          <w:rFonts w:eastAsia="Times New Roman"/>
          <w:lang w:val="fr-FR"/>
        </w:rPr>
        <w:t>.  Les requérants en cause sont titulaires</w:t>
      </w:r>
      <w:r w:rsidRPr="00874348">
        <w:rPr>
          <w:rFonts w:eastAsia="Times New Roman" w:cs="Calibri"/>
          <w:lang w:val="fr-FR"/>
        </w:rPr>
        <w:t xml:space="preserve"> </w:t>
      </w:r>
      <w:r w:rsidRPr="00874348">
        <w:rPr>
          <w:rFonts w:eastAsia="Times New Roman"/>
          <w:lang w:val="fr-FR"/>
        </w:rPr>
        <w:t xml:space="preserve">de créances exigibles en vertu de </w:t>
      </w:r>
      <w:r w:rsidRPr="00874348">
        <w:rPr>
          <w:rFonts w:eastAsia="Times New Roman" w:cs="Calibri"/>
          <w:lang w:val="fr-FR"/>
        </w:rPr>
        <w:t>jugements quantifiant la somme à laquelle ils avaient droit, devenus entre-temps définitifs</w:t>
      </w:r>
      <w:r w:rsidRPr="00874348">
        <w:rPr>
          <w:rFonts w:eastAsia="Times New Roman"/>
          <w:lang w:val="fr-FR"/>
        </w:rPr>
        <w:t>. Il s</w:t>
      </w:r>
      <w:r w:rsidR="00874348" w:rsidRPr="00874348">
        <w:rPr>
          <w:rFonts w:eastAsia="Times New Roman"/>
          <w:lang w:val="fr-FR"/>
        </w:rPr>
        <w:t>’</w:t>
      </w:r>
      <w:r w:rsidRPr="00874348">
        <w:rPr>
          <w:rFonts w:eastAsia="Times New Roman"/>
          <w:lang w:val="fr-FR"/>
        </w:rPr>
        <w:t>ensuit que leur impossibilité d</w:t>
      </w:r>
      <w:r w:rsidR="00874348" w:rsidRPr="00874348">
        <w:rPr>
          <w:rFonts w:eastAsia="Times New Roman"/>
          <w:lang w:val="fr-FR"/>
        </w:rPr>
        <w:t>’</w:t>
      </w:r>
      <w:r w:rsidRPr="00874348">
        <w:rPr>
          <w:rFonts w:eastAsia="Times New Roman"/>
          <w:lang w:val="fr-FR"/>
        </w:rPr>
        <w:t>obtenir l</w:t>
      </w:r>
      <w:r w:rsidR="00874348" w:rsidRPr="00874348">
        <w:rPr>
          <w:rFonts w:eastAsia="Times New Roman"/>
          <w:lang w:val="fr-FR"/>
        </w:rPr>
        <w:t>’</w:t>
      </w:r>
      <w:r w:rsidRPr="00874348">
        <w:rPr>
          <w:rFonts w:eastAsia="Times New Roman"/>
          <w:lang w:val="fr-FR"/>
        </w:rPr>
        <w:t>exécution de ces jugements a constitué une ingérence dans l</w:t>
      </w:r>
      <w:r w:rsidR="00874348" w:rsidRPr="00874348">
        <w:rPr>
          <w:rFonts w:eastAsia="Times New Roman"/>
          <w:lang w:val="fr-FR"/>
        </w:rPr>
        <w:t>’</w:t>
      </w:r>
      <w:r w:rsidRPr="00874348">
        <w:rPr>
          <w:rFonts w:eastAsia="Times New Roman"/>
          <w:lang w:val="fr-FR"/>
        </w:rPr>
        <w:t>exercice de leur droit au respect de leurs biens, tel qu</w:t>
      </w:r>
      <w:r w:rsidR="00874348" w:rsidRPr="00874348">
        <w:rPr>
          <w:rFonts w:eastAsia="Times New Roman"/>
          <w:lang w:val="fr-FR"/>
        </w:rPr>
        <w:t>’</w:t>
      </w:r>
      <w:r w:rsidRPr="00874348">
        <w:rPr>
          <w:rFonts w:eastAsia="Times New Roman"/>
          <w:lang w:val="fr-FR"/>
        </w:rPr>
        <w:t>énoncé dans la première phrase du premier paragraphe de l</w:t>
      </w:r>
      <w:r w:rsidR="00874348" w:rsidRPr="00874348">
        <w:rPr>
          <w:rFonts w:eastAsia="Times New Roman"/>
          <w:lang w:val="fr-FR"/>
        </w:rPr>
        <w:t>’</w:t>
      </w:r>
      <w:r w:rsidRPr="00874348">
        <w:rPr>
          <w:rFonts w:eastAsia="Times New Roman"/>
          <w:lang w:val="fr-FR"/>
        </w:rPr>
        <w:t>article 1 du Protocole n</w:t>
      </w:r>
      <w:r w:rsidRPr="00874348">
        <w:rPr>
          <w:rFonts w:eastAsia="Times New Roman"/>
          <w:vertAlign w:val="superscript"/>
          <w:lang w:val="fr-FR"/>
        </w:rPr>
        <w:t>o</w:t>
      </w:r>
      <w:r w:rsidRPr="00874348">
        <w:rPr>
          <w:rFonts w:eastAsia="Times New Roman"/>
          <w:lang w:val="fr-FR"/>
        </w:rPr>
        <w:t xml:space="preserve"> 1.</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71</w:t>
      </w:r>
      <w:r w:rsidRPr="00874348">
        <w:rPr>
          <w:rFonts w:eastAsia="Times New Roman"/>
          <w:lang w:val="fr-FR"/>
        </w:rPr>
        <w:fldChar w:fldCharType="end"/>
      </w:r>
      <w:r w:rsidRPr="00874348">
        <w:rPr>
          <w:rFonts w:eastAsia="Times New Roman"/>
          <w:lang w:val="fr-FR"/>
        </w:rPr>
        <w:t xml:space="preserve">.  En ne se conformant pas aux décisions mentionnées ci-dessus, les autorités nationales ont empêché les requérants de recevoir les montants </w:t>
      </w:r>
      <w:r w:rsidRPr="00874348">
        <w:rPr>
          <w:rFonts w:eastAsia="Times New Roman"/>
          <w:lang w:val="fr-FR"/>
        </w:rPr>
        <w:lastRenderedPageBreak/>
        <w:t>qu</w:t>
      </w:r>
      <w:r w:rsidR="00874348" w:rsidRPr="00874348">
        <w:rPr>
          <w:rFonts w:eastAsia="Times New Roman"/>
          <w:lang w:val="fr-FR"/>
        </w:rPr>
        <w:t>’</w:t>
      </w:r>
      <w:r w:rsidRPr="00874348">
        <w:rPr>
          <w:rFonts w:eastAsia="Times New Roman"/>
          <w:lang w:val="fr-FR"/>
        </w:rPr>
        <w:t>ils pouvaient raisonnablement s</w:t>
      </w:r>
      <w:r w:rsidR="00874348" w:rsidRPr="00874348">
        <w:rPr>
          <w:rFonts w:eastAsia="Times New Roman"/>
          <w:lang w:val="fr-FR"/>
        </w:rPr>
        <w:t>’</w:t>
      </w:r>
      <w:r w:rsidRPr="00874348">
        <w:rPr>
          <w:rFonts w:eastAsia="Times New Roman"/>
          <w:lang w:val="fr-FR"/>
        </w:rPr>
        <w:t>attendre à obtenir des dédommagements auxquels ils ont droit. Le Gouvernement n</w:t>
      </w:r>
      <w:r w:rsidR="00874348" w:rsidRPr="00874348">
        <w:rPr>
          <w:rFonts w:eastAsia="Times New Roman"/>
          <w:lang w:val="fr-FR"/>
        </w:rPr>
        <w:t>’</w:t>
      </w:r>
      <w:r w:rsidRPr="00874348">
        <w:rPr>
          <w:rFonts w:eastAsia="Times New Roman"/>
          <w:lang w:val="fr-FR"/>
        </w:rPr>
        <w:t xml:space="preserve">a fourni aucun argument de nature à justifier cette ingérence, (voir </w:t>
      </w:r>
      <w:r w:rsidRPr="00874348">
        <w:rPr>
          <w:rFonts w:eastAsia="Times New Roman"/>
          <w:i/>
          <w:lang w:val="fr-FR"/>
        </w:rPr>
        <w:t>Burdov</w:t>
      </w:r>
      <w:r w:rsidRPr="00874348">
        <w:rPr>
          <w:rFonts w:eastAsia="Times New Roman"/>
          <w:lang w:val="fr-FR"/>
        </w:rPr>
        <w:t xml:space="preserve">, précité, §§ 39-42, </w:t>
      </w:r>
      <w:r w:rsidRPr="00874348">
        <w:rPr>
          <w:rFonts w:eastAsia="Times New Roman"/>
          <w:i/>
          <w:lang w:val="fr-FR"/>
        </w:rPr>
        <w:t>mutatis mutandis</w:t>
      </w:r>
      <w:r w:rsidRPr="00874348">
        <w:rPr>
          <w:rFonts w:eastAsia="Times New Roman"/>
          <w:lang w:val="fr-FR"/>
        </w:rPr>
        <w:t xml:space="preserve">, </w:t>
      </w:r>
      <w:r w:rsidRPr="00874348">
        <w:rPr>
          <w:rFonts w:eastAsia="Times New Roman"/>
          <w:i/>
          <w:lang w:val="fr-FR"/>
        </w:rPr>
        <w:t>Ambruosi c. Italie</w:t>
      </w:r>
      <w:r w:rsidRPr="00874348">
        <w:rPr>
          <w:rFonts w:eastAsia="Times New Roman"/>
          <w:lang w:val="fr-FR"/>
        </w:rPr>
        <w:t>, n</w:t>
      </w:r>
      <w:r w:rsidRPr="00874348">
        <w:rPr>
          <w:rFonts w:eastAsia="Times New Roman"/>
          <w:vertAlign w:val="superscript"/>
          <w:lang w:val="fr-FR"/>
        </w:rPr>
        <w:t>o</w:t>
      </w:r>
      <w:r w:rsidRPr="00874348">
        <w:rPr>
          <w:rFonts w:eastAsia="Times New Roman"/>
          <w:lang w:val="fr-FR"/>
        </w:rPr>
        <w:t xml:space="preserve"> </w:t>
      </w:r>
      <w:hyperlink r:id="rId18" w:anchor="{&quot;appno&quot;:[&quot;31227/96&quot;]}" w:tgtFrame="_blank" w:history="1">
        <w:r w:rsidRPr="00874348">
          <w:rPr>
            <w:rFonts w:eastAsia="Times New Roman"/>
            <w:lang w:val="fr-FR"/>
          </w:rPr>
          <w:t>31227/96</w:t>
        </w:r>
      </w:hyperlink>
      <w:r w:rsidRPr="00874348">
        <w:rPr>
          <w:rFonts w:eastAsia="Times New Roman"/>
          <w:lang w:val="fr-FR"/>
        </w:rPr>
        <w:t>, §§ 28-34, 19 octobre 2000).</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72</w:t>
      </w:r>
      <w:r w:rsidRPr="00874348">
        <w:rPr>
          <w:rFonts w:eastAsia="Times New Roman"/>
          <w:lang w:val="fr-FR"/>
        </w:rPr>
        <w:fldChar w:fldCharType="end"/>
      </w:r>
      <w:r w:rsidRPr="00874348">
        <w:rPr>
          <w:rFonts w:eastAsia="Times New Roman"/>
          <w:lang w:val="fr-FR"/>
        </w:rPr>
        <w:t>.  En conclusion, il y a également eu violation de l</w:t>
      </w:r>
      <w:r w:rsidR="00874348" w:rsidRPr="00874348">
        <w:rPr>
          <w:rFonts w:eastAsia="Times New Roman"/>
          <w:lang w:val="fr-FR"/>
        </w:rPr>
        <w:t>’</w:t>
      </w:r>
      <w:r w:rsidRPr="00874348">
        <w:rPr>
          <w:rFonts w:eastAsia="Times New Roman"/>
          <w:lang w:val="fr-FR"/>
        </w:rPr>
        <w:t>article 1 du Protocole n</w:t>
      </w:r>
      <w:r w:rsidRPr="00874348">
        <w:rPr>
          <w:rFonts w:eastAsia="Times New Roman"/>
          <w:vertAlign w:val="superscript"/>
          <w:lang w:val="fr-FR"/>
        </w:rPr>
        <w:t>o</w:t>
      </w:r>
      <w:r w:rsidRPr="00874348">
        <w:rPr>
          <w:rFonts w:eastAsia="Times New Roman"/>
          <w:lang w:val="fr-FR"/>
        </w:rPr>
        <w:t xml:space="preserve"> 1.</w:t>
      </w:r>
    </w:p>
    <w:p w:rsidR="00506071" w:rsidRPr="00874348" w:rsidRDefault="00385F5E" w:rsidP="00874348">
      <w:pPr>
        <w:pStyle w:val="ECHRHeading3"/>
        <w:rPr>
          <w:rFonts w:eastAsia="Times New Roman"/>
          <w:lang w:val="fr-FR"/>
        </w:rPr>
      </w:pPr>
      <w:r w:rsidRPr="00874348">
        <w:rPr>
          <w:rFonts w:eastAsia="Times New Roman"/>
          <w:lang w:val="fr-FR"/>
        </w:rPr>
        <w:t>3.  </w:t>
      </w:r>
      <w:r w:rsidR="00506071" w:rsidRPr="00874348">
        <w:rPr>
          <w:rFonts w:eastAsia="Times New Roman"/>
          <w:lang w:val="fr-FR"/>
        </w:rPr>
        <w:t>Concernant la violation alléguée de l</w:t>
      </w:r>
      <w:r w:rsidR="00874348" w:rsidRPr="00874348">
        <w:rPr>
          <w:rFonts w:eastAsia="Times New Roman"/>
          <w:lang w:val="fr-FR"/>
        </w:rPr>
        <w:t>’</w:t>
      </w:r>
      <w:r w:rsidR="00506071" w:rsidRPr="00874348">
        <w:rPr>
          <w:rFonts w:eastAsia="Times New Roman"/>
          <w:lang w:val="fr-FR"/>
        </w:rPr>
        <w:t>article 13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73</w:t>
      </w:r>
      <w:r w:rsidRPr="00874348">
        <w:rPr>
          <w:rFonts w:eastAsia="Times New Roman"/>
          <w:lang w:val="fr-FR"/>
        </w:rPr>
        <w:fldChar w:fldCharType="end"/>
      </w:r>
      <w:r w:rsidRPr="00874348">
        <w:rPr>
          <w:rFonts w:eastAsia="Times New Roman"/>
          <w:lang w:val="fr-FR"/>
        </w:rPr>
        <w:t>.  Le Gouvernement n</w:t>
      </w:r>
      <w:r w:rsidR="00874348" w:rsidRPr="00874348">
        <w:rPr>
          <w:rFonts w:eastAsia="Times New Roman"/>
          <w:lang w:val="fr-FR"/>
        </w:rPr>
        <w:t>’</w:t>
      </w:r>
      <w:r w:rsidRPr="00874348">
        <w:rPr>
          <w:rFonts w:eastAsia="Times New Roman"/>
          <w:lang w:val="fr-FR"/>
        </w:rPr>
        <w:t>a pas présenté d</w:t>
      </w:r>
      <w:r w:rsidR="00874348" w:rsidRPr="00874348">
        <w:rPr>
          <w:rFonts w:eastAsia="Times New Roman"/>
          <w:lang w:val="fr-FR"/>
        </w:rPr>
        <w:t>’</w:t>
      </w:r>
      <w:r w:rsidRPr="00874348">
        <w:rPr>
          <w:rFonts w:eastAsia="Times New Roman"/>
          <w:lang w:val="fr-FR"/>
        </w:rPr>
        <w:t>observations sur le fond de ce grief.</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74</w:t>
      </w:r>
      <w:r w:rsidRPr="00874348">
        <w:rPr>
          <w:rFonts w:eastAsia="Times New Roman"/>
          <w:lang w:val="fr-FR"/>
        </w:rPr>
        <w:fldChar w:fldCharType="end"/>
      </w:r>
      <w:r w:rsidRPr="00874348">
        <w:rPr>
          <w:rFonts w:eastAsia="Times New Roman"/>
          <w:lang w:val="fr-FR"/>
        </w:rPr>
        <w:t>.  Les requérants réitèrent leur doléance.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75</w:t>
      </w:r>
      <w:r w:rsidRPr="00874348">
        <w:rPr>
          <w:rFonts w:eastAsia="Times New Roman"/>
          <w:lang w:val="fr-FR"/>
        </w:rPr>
        <w:fldChar w:fldCharType="end"/>
      </w:r>
      <w:r w:rsidRPr="00874348">
        <w:rPr>
          <w:rFonts w:eastAsia="Times New Roman"/>
          <w:lang w:val="fr-FR"/>
        </w:rPr>
        <w:t>.  La Cour se réfère aux conclusions concernant le manque d</w:t>
      </w:r>
      <w:r w:rsidR="00874348" w:rsidRPr="00874348">
        <w:rPr>
          <w:rFonts w:eastAsia="Times New Roman"/>
          <w:lang w:val="fr-FR"/>
        </w:rPr>
        <w:t>’</w:t>
      </w:r>
      <w:r w:rsidRPr="00874348">
        <w:rPr>
          <w:rFonts w:eastAsia="Times New Roman"/>
          <w:lang w:val="fr-FR"/>
        </w:rPr>
        <w:t>effectivité du nouveau remède prévu par le décret-loi n</w:t>
      </w:r>
      <w:r w:rsidRPr="00874348">
        <w:rPr>
          <w:rFonts w:eastAsia="Times New Roman"/>
          <w:vertAlign w:val="superscript"/>
          <w:lang w:val="fr-FR"/>
        </w:rPr>
        <w:t>o</w:t>
      </w:r>
      <w:r w:rsidRPr="00874348">
        <w:rPr>
          <w:rFonts w:eastAsia="Times New Roman"/>
          <w:lang w:val="fr-FR"/>
        </w:rPr>
        <w:t xml:space="preserve"> 90/2014 relativement aux violations alléguées par les requérants (paragraphe 55 ci-dessus). Elle estime que les requérants ne disposaient pas d</w:t>
      </w:r>
      <w:r w:rsidR="00874348" w:rsidRPr="00874348">
        <w:rPr>
          <w:rFonts w:eastAsia="Times New Roman"/>
          <w:lang w:val="fr-FR"/>
        </w:rPr>
        <w:t>’</w:t>
      </w:r>
      <w:r w:rsidRPr="00874348">
        <w:rPr>
          <w:rFonts w:eastAsia="Times New Roman"/>
          <w:lang w:val="fr-FR"/>
        </w:rPr>
        <w:t>un recours effectif pour se plaindre de la violation des articles 6 § 1 de la Convention et 1 du Protocole n</w:t>
      </w:r>
      <w:r w:rsidRPr="00874348">
        <w:rPr>
          <w:rFonts w:eastAsia="Times New Roman"/>
          <w:vertAlign w:val="superscript"/>
          <w:lang w:val="fr-FR"/>
        </w:rPr>
        <w:t>o</w:t>
      </w:r>
      <w:r w:rsidRPr="00874348">
        <w:rPr>
          <w:rFonts w:eastAsia="Times New Roman"/>
          <w:lang w:val="fr-FR"/>
        </w:rPr>
        <w:t xml:space="preserve"> 1 à la Convention, tel que requis par l</w:t>
      </w:r>
      <w:r w:rsidR="00874348" w:rsidRPr="00874348">
        <w:rPr>
          <w:rFonts w:eastAsia="Times New Roman"/>
          <w:lang w:val="fr-FR"/>
        </w:rPr>
        <w:t>’</w:t>
      </w:r>
      <w:r w:rsidRPr="00874348">
        <w:rPr>
          <w:rFonts w:eastAsia="Times New Roman"/>
          <w:lang w:val="fr-FR"/>
        </w:rPr>
        <w:t>article 13 de la Convention (voir, parmi beaucoup d</w:t>
      </w:r>
      <w:r w:rsidR="00874348" w:rsidRPr="00874348">
        <w:rPr>
          <w:rFonts w:eastAsia="Times New Roman"/>
          <w:lang w:val="fr-FR"/>
        </w:rPr>
        <w:t>’</w:t>
      </w:r>
      <w:r w:rsidRPr="00874348">
        <w:rPr>
          <w:rFonts w:eastAsia="Times New Roman"/>
          <w:lang w:val="fr-FR"/>
        </w:rPr>
        <w:t xml:space="preserve">autres, </w:t>
      </w:r>
      <w:r w:rsidRPr="00874348">
        <w:rPr>
          <w:rFonts w:eastAsia="Times New Roman"/>
          <w:i/>
          <w:lang w:val="fr-FR" w:eastAsia="fr-FR"/>
        </w:rPr>
        <w:t>Bourdov c. Russie (n</w:t>
      </w:r>
      <w:r w:rsidRPr="00874348">
        <w:rPr>
          <w:rFonts w:eastAsia="Times New Roman"/>
          <w:i/>
          <w:vertAlign w:val="superscript"/>
          <w:lang w:val="fr-FR" w:eastAsia="fr-FR"/>
        </w:rPr>
        <w:t>o</w:t>
      </w:r>
      <w:r w:rsidRPr="00874348">
        <w:rPr>
          <w:rFonts w:eastAsia="Times New Roman"/>
          <w:i/>
          <w:lang w:val="fr-FR" w:eastAsia="fr-FR"/>
        </w:rPr>
        <w:t xml:space="preserve"> 2)</w:t>
      </w:r>
      <w:r w:rsidRPr="00874348">
        <w:rPr>
          <w:rFonts w:eastAsia="Times New Roman"/>
          <w:lang w:val="fr-FR" w:eastAsia="fr-FR"/>
        </w:rPr>
        <w:t xml:space="preserve">, précité, §§ 96-100 et </w:t>
      </w:r>
      <w:r w:rsidRPr="00874348">
        <w:rPr>
          <w:rFonts w:eastAsia="Times New Roman"/>
          <w:i/>
          <w:lang w:val="fr-FR"/>
        </w:rPr>
        <w:t>Romachov c. Ukraine</w:t>
      </w:r>
      <w:r w:rsidRPr="00874348">
        <w:rPr>
          <w:rFonts w:eastAsia="Times New Roman"/>
          <w:iCs/>
          <w:lang w:val="fr-FR"/>
        </w:rPr>
        <w:t>,</w:t>
      </w:r>
      <w:r w:rsidRPr="00874348">
        <w:rPr>
          <w:rFonts w:eastAsia="Times New Roman"/>
          <w:lang w:val="fr-FR"/>
        </w:rPr>
        <w:t xml:space="preserve"> n</w:t>
      </w:r>
      <w:r w:rsidRPr="00874348">
        <w:rPr>
          <w:rFonts w:eastAsia="Times New Roman"/>
          <w:vertAlign w:val="superscript"/>
          <w:lang w:val="fr-FR"/>
        </w:rPr>
        <w:t>o </w:t>
      </w:r>
      <w:r w:rsidRPr="00874348">
        <w:rPr>
          <w:rFonts w:eastAsia="Times New Roman"/>
          <w:lang w:val="fr-FR"/>
        </w:rPr>
        <w:t>67534/01, § 47, 27 juillet 2004).</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76</w:t>
      </w:r>
      <w:r w:rsidRPr="00874348">
        <w:rPr>
          <w:rFonts w:eastAsia="Times New Roman"/>
          <w:lang w:val="fr-FR"/>
        </w:rPr>
        <w:fldChar w:fldCharType="end"/>
      </w:r>
      <w:r w:rsidRPr="00874348">
        <w:rPr>
          <w:rFonts w:eastAsia="Times New Roman"/>
          <w:lang w:val="fr-FR"/>
        </w:rPr>
        <w:t>.  Il y a donc lieu de conclure que cette disposition a été méconnue en l</w:t>
      </w:r>
      <w:r w:rsidR="00874348" w:rsidRPr="00874348">
        <w:rPr>
          <w:rFonts w:eastAsia="Times New Roman"/>
          <w:lang w:val="fr-FR"/>
        </w:rPr>
        <w:t>’</w:t>
      </w:r>
      <w:r w:rsidRPr="00874348">
        <w:rPr>
          <w:rFonts w:eastAsia="Times New Roman"/>
          <w:lang w:val="fr-FR"/>
        </w:rPr>
        <w:t>espèce.</w:t>
      </w:r>
    </w:p>
    <w:p w:rsidR="00506071" w:rsidRPr="00874348" w:rsidRDefault="00506071" w:rsidP="00874348">
      <w:pPr>
        <w:pStyle w:val="ECHRHeading1"/>
        <w:rPr>
          <w:rFonts w:eastAsia="Times New Roman"/>
          <w:lang w:val="fr-FR"/>
        </w:rPr>
      </w:pPr>
      <w:r w:rsidRPr="00874348">
        <w:rPr>
          <w:rFonts w:eastAsia="Times New Roman"/>
          <w:lang w:val="fr-FR"/>
        </w:rPr>
        <w:t>III.  SUR LA VIOLATION DU VOLET PROCÉDURAL DE L</w:t>
      </w:r>
      <w:r w:rsidR="00874348" w:rsidRPr="00874348">
        <w:rPr>
          <w:rFonts w:eastAsia="Times New Roman"/>
          <w:lang w:val="fr-FR"/>
        </w:rPr>
        <w:t>’</w:t>
      </w:r>
      <w:r w:rsidRPr="00874348">
        <w:rPr>
          <w:rFonts w:eastAsia="Times New Roman"/>
          <w:lang w:val="fr-FR"/>
        </w:rPr>
        <w:t>ARTICLE 2 DE LA CONVENTION CONCERNANT LA DURÉE EXCESSIVE DES PROCÉDURES EN DÉDOMMAGEMENT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77</w:t>
      </w:r>
      <w:r w:rsidRPr="00874348">
        <w:rPr>
          <w:rFonts w:eastAsia="Times New Roman"/>
          <w:lang w:val="fr-FR"/>
        </w:rPr>
        <w:fldChar w:fldCharType="end"/>
      </w:r>
      <w:r w:rsidRPr="00874348">
        <w:rPr>
          <w:rFonts w:eastAsia="Times New Roman"/>
          <w:lang w:val="fr-FR"/>
        </w:rPr>
        <w:t>.  Invoquant l</w:t>
      </w:r>
      <w:r w:rsidR="00874348" w:rsidRPr="00874348">
        <w:rPr>
          <w:rFonts w:eastAsia="Times New Roman"/>
          <w:lang w:val="fr-FR"/>
        </w:rPr>
        <w:t>’</w:t>
      </w:r>
      <w:r w:rsidRPr="00874348">
        <w:rPr>
          <w:rFonts w:eastAsia="Times New Roman"/>
          <w:lang w:val="fr-FR"/>
        </w:rPr>
        <w:t xml:space="preserve">article 2 de la Convention sous son volet procédural, les requérants faisant partie des requêtes </w:t>
      </w:r>
      <w:r w:rsidRPr="00874348">
        <w:rPr>
          <w:rFonts w:eastAsia="Times New Roman"/>
          <w:bCs/>
          <w:lang w:val="fr-FR"/>
        </w:rPr>
        <w:t>indiquées aux n</w:t>
      </w:r>
      <w:r w:rsidRPr="00874348">
        <w:rPr>
          <w:rFonts w:eastAsia="Times New Roman"/>
          <w:bCs/>
          <w:vertAlign w:val="superscript"/>
          <w:lang w:val="fr-FR"/>
        </w:rPr>
        <w:t>os</w:t>
      </w:r>
      <w:r w:rsidRPr="00874348">
        <w:rPr>
          <w:rFonts w:eastAsia="Times New Roman"/>
          <w:bCs/>
          <w:lang w:val="fr-FR"/>
        </w:rPr>
        <w:t xml:space="preserve"> 1 à 15 dans la liste B en annexe (à l</w:t>
      </w:r>
      <w:r w:rsidR="00874348" w:rsidRPr="00874348">
        <w:rPr>
          <w:rFonts w:eastAsia="Times New Roman"/>
          <w:bCs/>
          <w:lang w:val="fr-FR"/>
        </w:rPr>
        <w:t>’</w:t>
      </w:r>
      <w:r w:rsidRPr="00874348">
        <w:rPr>
          <w:rFonts w:eastAsia="Times New Roman"/>
          <w:bCs/>
          <w:lang w:val="fr-FR"/>
        </w:rPr>
        <w:t>exception de la requête n</w:t>
      </w:r>
      <w:r w:rsidRPr="00874348">
        <w:rPr>
          <w:rFonts w:eastAsia="Times New Roman"/>
          <w:bCs/>
          <w:vertAlign w:val="superscript"/>
          <w:lang w:val="fr-FR"/>
        </w:rPr>
        <w:t>o</w:t>
      </w:r>
      <w:r w:rsidRPr="00874348">
        <w:rPr>
          <w:rFonts w:eastAsia="Times New Roman"/>
          <w:bCs/>
          <w:lang w:val="fr-FR"/>
        </w:rPr>
        <w:t xml:space="preserve"> 64572/13) </w:t>
      </w:r>
      <w:r w:rsidRPr="00874348">
        <w:rPr>
          <w:rFonts w:eastAsia="Times New Roman"/>
          <w:lang w:val="fr-FR"/>
        </w:rPr>
        <w:t>se plaignent d</w:t>
      </w:r>
      <w:r w:rsidR="00874348" w:rsidRPr="00874348">
        <w:rPr>
          <w:rFonts w:eastAsia="Times New Roman"/>
          <w:lang w:val="fr-FR"/>
        </w:rPr>
        <w:t>’</w:t>
      </w:r>
      <w:r w:rsidRPr="00874348">
        <w:rPr>
          <w:rFonts w:eastAsia="Times New Roman"/>
          <w:lang w:val="fr-FR"/>
        </w:rPr>
        <w:t xml:space="preserve">une violation de leur droit à la vie ou de celui de leurs </w:t>
      </w:r>
      <w:r w:rsidRPr="00874348">
        <w:rPr>
          <w:rFonts w:eastAsia="Times New Roman"/>
          <w:i/>
          <w:lang w:val="fr-FR"/>
        </w:rPr>
        <w:t>de cujus</w:t>
      </w:r>
      <w:r w:rsidRPr="00874348">
        <w:rPr>
          <w:rFonts w:eastAsia="Times New Roman"/>
          <w:lang w:val="fr-FR"/>
        </w:rPr>
        <w:t>, en raison de la longueur des procédures internes en dédommagement.</w:t>
      </w:r>
    </w:p>
    <w:p w:rsidR="00506071" w:rsidRPr="00874348" w:rsidRDefault="00506071" w:rsidP="00874348">
      <w:pPr>
        <w:pStyle w:val="ECHRHeading2"/>
        <w:rPr>
          <w:rFonts w:eastAsia="Times New Roman"/>
          <w:lang w:val="fr-FR"/>
        </w:rPr>
      </w:pPr>
      <w:r w:rsidRPr="00874348">
        <w:rPr>
          <w:rFonts w:eastAsia="Times New Roman"/>
          <w:lang w:val="fr-FR"/>
        </w:rPr>
        <w:t>A.  Sur la recevabilité</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78</w:t>
      </w:r>
      <w:r w:rsidRPr="00874348">
        <w:rPr>
          <w:rFonts w:eastAsia="Times New Roman"/>
          <w:lang w:val="fr-FR"/>
        </w:rPr>
        <w:fldChar w:fldCharType="end"/>
      </w:r>
      <w:r w:rsidRPr="00874348">
        <w:rPr>
          <w:rFonts w:eastAsia="Times New Roman"/>
          <w:lang w:val="fr-FR"/>
        </w:rPr>
        <w:t>.  Le Gouvernement fait valoir que les requérants peuvent se prévaloir du remède interne prévu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79</w:t>
      </w:r>
      <w:r w:rsidRPr="00874348">
        <w:rPr>
          <w:rFonts w:eastAsia="Times New Roman"/>
          <w:lang w:val="fr-FR"/>
        </w:rPr>
        <w:fldChar w:fldCharType="end"/>
      </w:r>
      <w:r w:rsidRPr="00874348">
        <w:rPr>
          <w:rFonts w:eastAsia="Times New Roman"/>
          <w:lang w:val="fr-FR"/>
        </w:rPr>
        <w:t>.  La Cour relève d</w:t>
      </w:r>
      <w:r w:rsidR="00874348" w:rsidRPr="00874348">
        <w:rPr>
          <w:rFonts w:eastAsia="Times New Roman"/>
          <w:lang w:val="fr-FR"/>
        </w:rPr>
        <w:t>’</w:t>
      </w:r>
      <w:r w:rsidRPr="00874348">
        <w:rPr>
          <w:rFonts w:eastAsia="Times New Roman"/>
          <w:lang w:val="fr-FR"/>
        </w:rPr>
        <w:t>emblée que la procédure en dédommagement introduite par la requérante indiquée au n</w:t>
      </w:r>
      <w:r w:rsidRPr="00874348">
        <w:rPr>
          <w:rFonts w:eastAsia="Times New Roman"/>
          <w:vertAlign w:val="superscript"/>
          <w:lang w:val="fr-FR"/>
        </w:rPr>
        <w:t>o</w:t>
      </w:r>
      <w:r w:rsidRPr="00874348">
        <w:rPr>
          <w:rFonts w:eastAsia="Times New Roman"/>
          <w:lang w:val="fr-FR"/>
        </w:rPr>
        <w:t xml:space="preserve"> 14 de la requête n</w:t>
      </w:r>
      <w:r w:rsidRPr="00874348">
        <w:rPr>
          <w:rFonts w:eastAsia="Times New Roman"/>
          <w:vertAlign w:val="superscript"/>
          <w:lang w:val="fr-FR"/>
        </w:rPr>
        <w:t>o</w:t>
      </w:r>
      <w:r w:rsidRPr="00874348">
        <w:rPr>
          <w:rFonts w:eastAsia="Times New Roman"/>
          <w:lang w:val="fr-FR"/>
        </w:rPr>
        <w:t xml:space="preserve"> 68060/12 s</w:t>
      </w:r>
      <w:r w:rsidR="00874348" w:rsidRPr="00874348">
        <w:rPr>
          <w:rFonts w:eastAsia="Times New Roman"/>
          <w:lang w:val="fr-FR"/>
        </w:rPr>
        <w:t>’</w:t>
      </w:r>
      <w:r w:rsidRPr="00874348">
        <w:rPr>
          <w:rFonts w:eastAsia="Times New Roman"/>
          <w:lang w:val="fr-FR"/>
        </w:rPr>
        <w:t>est terminée par un arrêt de la cour d</w:t>
      </w:r>
      <w:r w:rsidR="00874348" w:rsidRPr="00874348">
        <w:rPr>
          <w:rFonts w:eastAsia="Times New Roman"/>
          <w:lang w:val="fr-FR"/>
        </w:rPr>
        <w:t>’</w:t>
      </w:r>
      <w:r w:rsidRPr="00874348">
        <w:rPr>
          <w:rFonts w:eastAsia="Times New Roman"/>
          <w:lang w:val="fr-FR"/>
        </w:rPr>
        <w:t>appel de Lecce déposé le 20 février 2012, à savoir, plus de six mois avant la date d</w:t>
      </w:r>
      <w:r w:rsidR="00874348" w:rsidRPr="00874348">
        <w:rPr>
          <w:rFonts w:eastAsia="Times New Roman"/>
          <w:lang w:val="fr-FR"/>
        </w:rPr>
        <w:t>’</w:t>
      </w:r>
      <w:r w:rsidRPr="00874348">
        <w:rPr>
          <w:rFonts w:eastAsia="Times New Roman"/>
          <w:lang w:val="fr-FR"/>
        </w:rPr>
        <w:t>introduction de la présente requête devant la Cour, le 17 octobre 2012.</w:t>
      </w:r>
    </w:p>
    <w:p w:rsidR="00506071" w:rsidRPr="00874348" w:rsidRDefault="00506071" w:rsidP="00874348">
      <w:pPr>
        <w:pStyle w:val="ECHRPara"/>
        <w:rPr>
          <w:rFonts w:eastAsia="Times New Roman"/>
          <w:lang w:val="fr-FR"/>
        </w:rPr>
      </w:pPr>
      <w:r w:rsidRPr="00874348">
        <w:rPr>
          <w:rFonts w:eastAsia="Times New Roman"/>
          <w:lang w:val="fr-FR"/>
        </w:rPr>
        <w:lastRenderedPageBreak/>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80</w:t>
      </w:r>
      <w:r w:rsidRPr="00874348">
        <w:rPr>
          <w:rFonts w:eastAsia="Times New Roman"/>
          <w:lang w:val="fr-FR"/>
        </w:rPr>
        <w:fldChar w:fldCharType="end"/>
      </w:r>
      <w:r w:rsidRPr="00874348">
        <w:rPr>
          <w:rFonts w:eastAsia="Times New Roman"/>
          <w:lang w:val="fr-FR"/>
        </w:rPr>
        <w:t>.  Elle estime donc que cette partie de la requête doit être rejeté car tardive, au sens de l</w:t>
      </w:r>
      <w:r w:rsidR="00874348" w:rsidRPr="00874348">
        <w:rPr>
          <w:rFonts w:eastAsia="Times New Roman"/>
          <w:lang w:val="fr-FR"/>
        </w:rPr>
        <w:t>’</w:t>
      </w:r>
      <w:r w:rsidRPr="00874348">
        <w:rPr>
          <w:rFonts w:eastAsia="Times New Roman"/>
          <w:lang w:val="fr-FR"/>
        </w:rPr>
        <w:t>article 35 §§ 1 et 4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81</w:t>
      </w:r>
      <w:r w:rsidRPr="00874348">
        <w:rPr>
          <w:rFonts w:eastAsia="Times New Roman"/>
          <w:lang w:val="fr-FR"/>
        </w:rPr>
        <w:fldChar w:fldCharType="end"/>
      </w:r>
      <w:r w:rsidRPr="00874348">
        <w:rPr>
          <w:rFonts w:eastAsia="Times New Roman"/>
          <w:lang w:val="fr-FR"/>
        </w:rPr>
        <w:t>.  Quant aux requérants restants, la Cour note que certains d</w:t>
      </w:r>
      <w:r w:rsidR="00874348" w:rsidRPr="00874348">
        <w:rPr>
          <w:rFonts w:eastAsia="Times New Roman"/>
          <w:lang w:val="fr-FR"/>
        </w:rPr>
        <w:t>’</w:t>
      </w:r>
      <w:r w:rsidRPr="00874348">
        <w:rPr>
          <w:rFonts w:eastAsia="Times New Roman"/>
          <w:lang w:val="fr-FR"/>
        </w:rPr>
        <w:t>entre eux ont introduit leur requête en tant qu</w:t>
      </w:r>
      <w:r w:rsidR="00874348" w:rsidRPr="00874348">
        <w:rPr>
          <w:rFonts w:eastAsia="Times New Roman"/>
          <w:lang w:val="fr-FR"/>
        </w:rPr>
        <w:t>’</w:t>
      </w:r>
      <w:r w:rsidRPr="00874348">
        <w:rPr>
          <w:rFonts w:eastAsia="Times New Roman"/>
          <w:lang w:val="fr-FR"/>
        </w:rPr>
        <w:t>héritiers d</w:t>
      </w:r>
      <w:r w:rsidR="00874348" w:rsidRPr="00874348">
        <w:rPr>
          <w:rFonts w:eastAsia="Times New Roman"/>
          <w:lang w:val="fr-FR"/>
        </w:rPr>
        <w:t>’</w:t>
      </w:r>
      <w:r w:rsidRPr="00874348">
        <w:rPr>
          <w:rFonts w:eastAsia="Times New Roman"/>
          <w:lang w:val="fr-FR"/>
        </w:rPr>
        <w:t>une personne décédée. D</w:t>
      </w:r>
      <w:r w:rsidR="00874348" w:rsidRPr="00874348">
        <w:rPr>
          <w:rFonts w:eastAsia="Times New Roman"/>
          <w:lang w:val="fr-FR"/>
        </w:rPr>
        <w:t>’</w:t>
      </w:r>
      <w:r w:rsidRPr="00874348">
        <w:rPr>
          <w:rFonts w:eastAsia="Times New Roman"/>
          <w:lang w:val="fr-FR"/>
        </w:rPr>
        <w:t xml:space="preserve">autre requérants se sont constitués dans la procédure à la suite du décès de leur </w:t>
      </w:r>
      <w:r w:rsidRPr="00874348">
        <w:rPr>
          <w:rFonts w:eastAsia="Times New Roman"/>
          <w:i/>
          <w:lang w:val="fr-FR"/>
        </w:rPr>
        <w:t>de cujus</w:t>
      </w:r>
      <w:r w:rsidRPr="00874348">
        <w:rPr>
          <w:rFonts w:eastAsia="Times New Roman"/>
          <w:lang w:val="fr-FR"/>
        </w:rPr>
        <w:t>, intervenu après l</w:t>
      </w:r>
      <w:r w:rsidR="00874348" w:rsidRPr="00874348">
        <w:rPr>
          <w:rFonts w:eastAsia="Times New Roman"/>
          <w:lang w:val="fr-FR"/>
        </w:rPr>
        <w:t>’</w:t>
      </w:r>
      <w:r w:rsidRPr="00874348">
        <w:rPr>
          <w:rFonts w:eastAsia="Times New Roman"/>
          <w:lang w:val="fr-FR"/>
        </w:rPr>
        <w:t>introduction de leur requête devant la Cour. Les noms et la qualité d</w:t>
      </w:r>
      <w:r w:rsidR="00874348" w:rsidRPr="00874348">
        <w:rPr>
          <w:rFonts w:eastAsia="Times New Roman"/>
          <w:lang w:val="fr-FR"/>
        </w:rPr>
        <w:t>’</w:t>
      </w:r>
      <w:r w:rsidRPr="00874348">
        <w:rPr>
          <w:rFonts w:eastAsia="Times New Roman"/>
          <w:lang w:val="fr-FR"/>
        </w:rPr>
        <w:t>héritiers de ceux-ci sont indiqués dans la liste B en annexe.</w:t>
      </w:r>
    </w:p>
    <w:p w:rsidR="00506071" w:rsidRPr="00874348" w:rsidRDefault="00506071" w:rsidP="00874348">
      <w:pPr>
        <w:pStyle w:val="ECHRPara"/>
        <w:rPr>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82</w:t>
      </w:r>
      <w:r w:rsidRPr="00874348">
        <w:rPr>
          <w:rFonts w:eastAsia="Times New Roman"/>
          <w:lang w:val="fr-FR"/>
        </w:rPr>
        <w:fldChar w:fldCharType="end"/>
      </w:r>
      <w:r w:rsidRPr="00874348">
        <w:rPr>
          <w:rFonts w:eastAsia="Times New Roman"/>
          <w:lang w:val="fr-FR"/>
        </w:rPr>
        <w:t xml:space="preserve">.  Pour ce qui est du premier </w:t>
      </w:r>
      <w:r w:rsidRPr="00874348">
        <w:rPr>
          <w:rFonts w:eastAsia="Times New Roman"/>
          <w:szCs w:val="24"/>
          <w:lang w:val="fr-FR"/>
        </w:rPr>
        <w:t xml:space="preserve">groupe de requérants, la Cour note que ceux-ci avaient un intérêt légitime </w:t>
      </w:r>
      <w:r w:rsidRPr="00874348">
        <w:rPr>
          <w:szCs w:val="24"/>
          <w:lang w:val="fr-FR"/>
        </w:rPr>
        <w:t>en tant que proches des défunts pour soumettre une requête soulevant des griefs liés au décès de ceux-ci (</w:t>
      </w:r>
      <w:r w:rsidRPr="00874348">
        <w:rPr>
          <w:i/>
          <w:lang w:val="fr-FR"/>
        </w:rPr>
        <w:t>Varnava et autres c. Turquie</w:t>
      </w:r>
      <w:r w:rsidRPr="00874348">
        <w:rPr>
          <w:lang w:val="fr-FR"/>
        </w:rPr>
        <w:t>, n</w:t>
      </w:r>
      <w:r w:rsidRPr="00874348">
        <w:rPr>
          <w:vertAlign w:val="superscript"/>
          <w:lang w:val="fr-FR"/>
        </w:rPr>
        <w:t>os</w:t>
      </w:r>
      <w:r w:rsidRPr="00874348">
        <w:rPr>
          <w:lang w:val="fr-FR"/>
        </w:rPr>
        <w:t xml:space="preserve"> 16064/90, 16065/90, 16066/90, 16068/90, 16069/90, 16070/90, 16071/90, 16072/90 et 16073/90, §§ 112-113, 10 janvier 2008).</w:t>
      </w:r>
    </w:p>
    <w:p w:rsidR="00506071" w:rsidRPr="00874348" w:rsidRDefault="00506071" w:rsidP="00874348">
      <w:pPr>
        <w:pStyle w:val="ECHRPara"/>
        <w:rPr>
          <w:lang w:val="fr-FR"/>
        </w:rPr>
      </w:pPr>
      <w:r w:rsidRPr="00874348">
        <w:rPr>
          <w:szCs w:val="24"/>
          <w:lang w:val="fr-FR"/>
        </w:rPr>
        <w:fldChar w:fldCharType="begin"/>
      </w:r>
      <w:r w:rsidRPr="00874348">
        <w:rPr>
          <w:szCs w:val="24"/>
          <w:lang w:val="fr-FR"/>
        </w:rPr>
        <w:instrText xml:space="preserve"> SEQ level0 \*arabic </w:instrText>
      </w:r>
      <w:r w:rsidRPr="00874348">
        <w:rPr>
          <w:szCs w:val="24"/>
          <w:lang w:val="fr-FR"/>
        </w:rPr>
        <w:fldChar w:fldCharType="separate"/>
      </w:r>
      <w:r w:rsidR="00874348" w:rsidRPr="00874348">
        <w:rPr>
          <w:noProof/>
          <w:szCs w:val="24"/>
          <w:lang w:val="fr-FR"/>
        </w:rPr>
        <w:t>83</w:t>
      </w:r>
      <w:r w:rsidRPr="00874348">
        <w:rPr>
          <w:szCs w:val="24"/>
          <w:lang w:val="fr-FR"/>
        </w:rPr>
        <w:fldChar w:fldCharType="end"/>
      </w:r>
      <w:r w:rsidRPr="00874348">
        <w:rPr>
          <w:szCs w:val="24"/>
          <w:lang w:val="fr-FR"/>
        </w:rPr>
        <w:t>.  </w:t>
      </w:r>
      <w:r w:rsidRPr="00874348">
        <w:rPr>
          <w:lang w:val="fr-FR"/>
        </w:rPr>
        <w:t>Concernant les requérants s</w:t>
      </w:r>
      <w:r w:rsidR="00874348" w:rsidRPr="00874348">
        <w:rPr>
          <w:lang w:val="fr-FR"/>
        </w:rPr>
        <w:t>’</w:t>
      </w:r>
      <w:r w:rsidRPr="00874348">
        <w:rPr>
          <w:lang w:val="fr-FR"/>
        </w:rPr>
        <w:t>étant constitués dans la procédure à la suite du décès de leur de cujus, la Cour rappelle que, dans plusieurs affaires dans lesquelles le requérant était décédé en cours de procédure, elle a pris en compte la volonté de poursuivre celle-ci qu</w:t>
      </w:r>
      <w:r w:rsidR="00874348" w:rsidRPr="00874348">
        <w:rPr>
          <w:lang w:val="fr-FR"/>
        </w:rPr>
        <w:t>’</w:t>
      </w:r>
      <w:r w:rsidRPr="00874348">
        <w:rPr>
          <w:lang w:val="fr-FR"/>
        </w:rPr>
        <w:t xml:space="preserve">ont exprimée les héritiers ou parents proches (voir, par exemple, </w:t>
      </w:r>
      <w:r w:rsidRPr="00874348">
        <w:rPr>
          <w:i/>
          <w:lang w:val="fr-FR"/>
        </w:rPr>
        <w:t>Loukanov c. Bulgarie</w:t>
      </w:r>
      <w:r w:rsidRPr="00874348">
        <w:rPr>
          <w:lang w:val="fr-FR"/>
        </w:rPr>
        <w:t xml:space="preserve">, 20 mars 1997, § 35, Recueil 1997-II ; </w:t>
      </w:r>
      <w:r w:rsidRPr="00874348">
        <w:rPr>
          <w:i/>
          <w:lang w:val="fr-FR"/>
        </w:rPr>
        <w:t>Nikolaj Krempovskij c. Lituanie</w:t>
      </w:r>
      <w:r w:rsidRPr="00874348">
        <w:rPr>
          <w:lang w:val="fr-FR"/>
        </w:rPr>
        <w:t xml:space="preserve"> (déc.), n</w:t>
      </w:r>
      <w:r w:rsidRPr="00874348">
        <w:rPr>
          <w:vertAlign w:val="superscript"/>
          <w:lang w:val="fr-FR"/>
        </w:rPr>
        <w:t>o</w:t>
      </w:r>
      <w:r w:rsidRPr="00874348">
        <w:rPr>
          <w:lang w:val="fr-FR"/>
        </w:rPr>
        <w:t xml:space="preserve"> </w:t>
      </w:r>
      <w:hyperlink r:id="rId19" w:anchor="{&quot;appno&quot;:[&quot;37193/97&quot;]}" w:tgtFrame="_blank" w:history="1">
        <w:r w:rsidRPr="00874348">
          <w:rPr>
            <w:rStyle w:val="Collegamentoipertestuale"/>
            <w:color w:val="auto"/>
            <w:u w:val="none"/>
            <w:lang w:val="fr-FR"/>
          </w:rPr>
          <w:t>37193/97</w:t>
        </w:r>
      </w:hyperlink>
      <w:r w:rsidRPr="00874348">
        <w:rPr>
          <w:lang w:val="fr-FR"/>
        </w:rPr>
        <w:t xml:space="preserve">, 20 avril 1999 ; </w:t>
      </w:r>
      <w:r w:rsidRPr="00874348">
        <w:rPr>
          <w:i/>
          <w:lang w:val="fr-FR"/>
        </w:rPr>
        <w:t>Jėčius c. Lituanie</w:t>
      </w:r>
      <w:r w:rsidRPr="00874348">
        <w:rPr>
          <w:lang w:val="fr-FR"/>
        </w:rPr>
        <w:t>, n</w:t>
      </w:r>
      <w:r w:rsidRPr="00874348">
        <w:rPr>
          <w:vertAlign w:val="superscript"/>
          <w:lang w:val="fr-FR"/>
        </w:rPr>
        <w:t>o</w:t>
      </w:r>
      <w:r w:rsidRPr="00874348">
        <w:rPr>
          <w:lang w:val="fr-FR"/>
        </w:rPr>
        <w:t xml:space="preserve"> </w:t>
      </w:r>
      <w:hyperlink r:id="rId20" w:anchor="{&quot;appno&quot;:[&quot;34578/97&quot;]}" w:tgtFrame="_blank" w:history="1">
        <w:r w:rsidRPr="00874348">
          <w:rPr>
            <w:rStyle w:val="Collegamentoipertestuale"/>
            <w:color w:val="auto"/>
            <w:u w:val="none"/>
            <w:lang w:val="fr-FR"/>
          </w:rPr>
          <w:t>34578/97</w:t>
        </w:r>
      </w:hyperlink>
      <w:r w:rsidRPr="00874348">
        <w:rPr>
          <w:lang w:val="fr-FR"/>
        </w:rPr>
        <w:t>, § 41, CEDH 2000</w:t>
      </w:r>
      <w:r w:rsidRPr="00874348">
        <w:rPr>
          <w:lang w:val="fr-FR"/>
        </w:rPr>
        <w:noBreakHyphen/>
        <w:t xml:space="preserve">IX ; </w:t>
      </w:r>
      <w:r w:rsidRPr="00874348">
        <w:rPr>
          <w:i/>
          <w:lang w:val="fr-FR"/>
        </w:rPr>
        <w:t>Pisarkiewicz c. Pologne</w:t>
      </w:r>
      <w:r w:rsidRPr="00874348">
        <w:rPr>
          <w:lang w:val="fr-FR"/>
        </w:rPr>
        <w:t>, n</w:t>
      </w:r>
      <w:r w:rsidRPr="00874348">
        <w:rPr>
          <w:vertAlign w:val="superscript"/>
          <w:lang w:val="fr-FR"/>
        </w:rPr>
        <w:t>o</w:t>
      </w:r>
      <w:r w:rsidRPr="00874348">
        <w:rPr>
          <w:lang w:val="fr-FR"/>
        </w:rPr>
        <w:t xml:space="preserve"> </w:t>
      </w:r>
      <w:hyperlink r:id="rId21" w:anchor="{&quot;appno&quot;:[&quot;18967/02&quot;]}" w:tgtFrame="_blank" w:history="1">
        <w:r w:rsidRPr="00874348">
          <w:rPr>
            <w:rStyle w:val="Collegamentoipertestuale"/>
            <w:color w:val="auto"/>
            <w:u w:val="none"/>
            <w:lang w:val="fr-FR"/>
          </w:rPr>
          <w:t>18967/02</w:t>
        </w:r>
      </w:hyperlink>
      <w:r w:rsidRPr="00874348">
        <w:rPr>
          <w:lang w:val="fr-FR"/>
        </w:rPr>
        <w:t xml:space="preserve">, § 31, 22 janvier 2008 ; </w:t>
      </w:r>
      <w:r w:rsidRPr="00874348">
        <w:rPr>
          <w:i/>
          <w:lang w:val="fr-FR"/>
        </w:rPr>
        <w:t>Todev c. Bulgarie</w:t>
      </w:r>
      <w:r w:rsidRPr="00874348">
        <w:rPr>
          <w:lang w:val="fr-FR"/>
        </w:rPr>
        <w:t>, n</w:t>
      </w:r>
      <w:r w:rsidRPr="00874348">
        <w:rPr>
          <w:vertAlign w:val="superscript"/>
          <w:lang w:val="fr-FR"/>
        </w:rPr>
        <w:t>o</w:t>
      </w:r>
      <w:r w:rsidRPr="00874348">
        <w:rPr>
          <w:lang w:val="fr-FR"/>
        </w:rPr>
        <w:t xml:space="preserve"> </w:t>
      </w:r>
      <w:hyperlink r:id="rId22" w:anchor="{&quot;appno&quot;:[&quot;31036/02&quot;]}" w:tgtFrame="_blank" w:history="1">
        <w:r w:rsidRPr="00874348">
          <w:rPr>
            <w:rStyle w:val="Collegamentoipertestuale"/>
            <w:color w:val="auto"/>
            <w:u w:val="none"/>
            <w:lang w:val="fr-FR"/>
          </w:rPr>
          <w:t>31036/02</w:t>
        </w:r>
      </w:hyperlink>
      <w:r w:rsidRPr="00874348">
        <w:rPr>
          <w:lang w:val="fr-FR"/>
        </w:rPr>
        <w:t xml:space="preserve">, § 20, 22 mai 2008, </w:t>
      </w:r>
      <w:r w:rsidRPr="00874348">
        <w:rPr>
          <w:i/>
          <w:lang w:val="fr-FR"/>
        </w:rPr>
        <w:t>Gouloub Atanassov c. Bulgarie</w:t>
      </w:r>
      <w:r w:rsidRPr="00874348">
        <w:rPr>
          <w:lang w:val="fr-FR"/>
        </w:rPr>
        <w:t>, n</w:t>
      </w:r>
      <w:r w:rsidRPr="00874348">
        <w:rPr>
          <w:vertAlign w:val="superscript"/>
          <w:lang w:val="fr-FR"/>
        </w:rPr>
        <w:t>o</w:t>
      </w:r>
      <w:r w:rsidRPr="00874348">
        <w:rPr>
          <w:lang w:val="fr-FR"/>
        </w:rPr>
        <w:t xml:space="preserve"> </w:t>
      </w:r>
      <w:hyperlink r:id="rId23" w:anchor="{&quot;appno&quot;:[&quot;73281/01&quot;]}" w:tgtFrame="_blank" w:history="1">
        <w:r w:rsidRPr="00874348">
          <w:rPr>
            <w:rStyle w:val="Collegamentoipertestuale"/>
            <w:color w:val="auto"/>
            <w:u w:val="none"/>
            <w:lang w:val="fr-FR"/>
          </w:rPr>
          <w:t>73281/01</w:t>
        </w:r>
      </w:hyperlink>
      <w:r w:rsidRPr="00874348">
        <w:rPr>
          <w:lang w:val="fr-FR"/>
        </w:rPr>
        <w:t xml:space="preserve">, § 42, 6 novembre 2008 et </w:t>
      </w:r>
      <w:r w:rsidRPr="00874348">
        <w:rPr>
          <w:i/>
          <w:lang w:val="fr-FR"/>
        </w:rPr>
        <w:t>Vogt c. Suisse</w:t>
      </w:r>
      <w:r w:rsidRPr="00874348">
        <w:rPr>
          <w:lang w:val="fr-FR"/>
        </w:rPr>
        <w:t xml:space="preserve"> (déc.), n</w:t>
      </w:r>
      <w:r w:rsidRPr="00874348">
        <w:rPr>
          <w:vertAlign w:val="superscript"/>
          <w:lang w:val="fr-FR"/>
        </w:rPr>
        <w:t>o s</w:t>
      </w:r>
      <w:hyperlink r:id="rId24" w:anchor="{&quot;appno&quot;:[&quot;45553/06&quot;]}" w:tgtFrame="_blank" w:history="1">
        <w:r w:rsidRPr="00874348">
          <w:rPr>
            <w:rStyle w:val="Collegamentoipertestuale"/>
            <w:color w:val="auto"/>
            <w:u w:val="none"/>
            <w:lang w:val="fr-FR"/>
          </w:rPr>
          <w:t>45553/06</w:t>
        </w:r>
      </w:hyperlink>
      <w:r w:rsidRPr="00874348">
        <w:rPr>
          <w:lang w:val="fr-FR"/>
        </w:rPr>
        <w:t>, §§ 27-30, 3 juin 2014).</w:t>
      </w:r>
    </w:p>
    <w:p w:rsidR="00506071" w:rsidRPr="00874348" w:rsidRDefault="00506071" w:rsidP="00874348">
      <w:pPr>
        <w:pStyle w:val="ECHRPara"/>
        <w:rPr>
          <w:lang w:val="fr-FR"/>
        </w:rPr>
      </w:pPr>
      <w:r w:rsidRPr="00874348">
        <w:rPr>
          <w:lang w:val="fr-FR"/>
        </w:rPr>
        <w:fldChar w:fldCharType="begin"/>
      </w:r>
      <w:r w:rsidRPr="00874348">
        <w:rPr>
          <w:lang w:val="fr-FR"/>
        </w:rPr>
        <w:instrText xml:space="preserve"> SEQ level0 \*arabic </w:instrText>
      </w:r>
      <w:r w:rsidRPr="00874348">
        <w:rPr>
          <w:lang w:val="fr-FR"/>
        </w:rPr>
        <w:fldChar w:fldCharType="separate"/>
      </w:r>
      <w:r w:rsidR="00874348" w:rsidRPr="00874348">
        <w:rPr>
          <w:noProof/>
          <w:lang w:val="fr-FR"/>
        </w:rPr>
        <w:t>84</w:t>
      </w:r>
      <w:r w:rsidRPr="00874348">
        <w:rPr>
          <w:lang w:val="fr-FR"/>
        </w:rPr>
        <w:fldChar w:fldCharType="end"/>
      </w:r>
      <w:r w:rsidRPr="00874348">
        <w:rPr>
          <w:lang w:val="fr-FR"/>
        </w:rPr>
        <w:t>.  Dans le cas d</w:t>
      </w:r>
      <w:r w:rsidR="00874348" w:rsidRPr="00874348">
        <w:rPr>
          <w:lang w:val="fr-FR"/>
        </w:rPr>
        <w:t>’</w:t>
      </w:r>
      <w:r w:rsidRPr="00874348">
        <w:rPr>
          <w:lang w:val="fr-FR"/>
        </w:rPr>
        <w:t>espèce, la Cour estime que, eu égard à l</w:t>
      </w:r>
      <w:r w:rsidR="00874348" w:rsidRPr="00874348">
        <w:rPr>
          <w:lang w:val="fr-FR"/>
        </w:rPr>
        <w:t>’</w:t>
      </w:r>
      <w:r w:rsidRPr="00874348">
        <w:rPr>
          <w:lang w:val="fr-FR"/>
        </w:rPr>
        <w:t>objet des présentes affaires et à l</w:t>
      </w:r>
      <w:r w:rsidR="00874348" w:rsidRPr="00874348">
        <w:rPr>
          <w:lang w:val="fr-FR"/>
        </w:rPr>
        <w:t>’</w:t>
      </w:r>
      <w:r w:rsidRPr="00874348">
        <w:rPr>
          <w:lang w:val="fr-FR"/>
        </w:rPr>
        <w:t>ensemble des éléments dont elle dispose, les héritiers des requérants concernés possèdent un intérêt légitime à maintenir la requête au nom des défunts. Elle leur reconnaît dès lors qualité pour se substituer désormais aux requérants.</w:t>
      </w:r>
    </w:p>
    <w:p w:rsidR="00506071" w:rsidRPr="00874348" w:rsidRDefault="00506071" w:rsidP="00874348">
      <w:pPr>
        <w:pStyle w:val="ECHRPara"/>
        <w:rPr>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85</w:t>
      </w:r>
      <w:r w:rsidRPr="00874348">
        <w:rPr>
          <w:rFonts w:eastAsia="Times New Roman"/>
          <w:lang w:val="fr-FR"/>
        </w:rPr>
        <w:fldChar w:fldCharType="end"/>
      </w:r>
      <w:r w:rsidRPr="00874348">
        <w:rPr>
          <w:lang w:val="fr-FR"/>
        </w:rPr>
        <w:t>.  La Cour considère que l</w:t>
      </w:r>
      <w:r w:rsidR="00874348" w:rsidRPr="00874348">
        <w:rPr>
          <w:lang w:val="fr-FR"/>
        </w:rPr>
        <w:t>’</w:t>
      </w:r>
      <w:r w:rsidRPr="00874348">
        <w:rPr>
          <w:lang w:val="fr-FR"/>
        </w:rPr>
        <w:t>article 27-</w:t>
      </w:r>
      <w:r w:rsidRPr="00874348">
        <w:rPr>
          <w:i/>
          <w:lang w:val="fr-FR"/>
        </w:rPr>
        <w:t>bis</w:t>
      </w:r>
      <w:r w:rsidRPr="00874348">
        <w:rPr>
          <w:lang w:val="fr-FR"/>
        </w:rPr>
        <w:t xml:space="preserve"> du décret-loi no 90/2014 prévoit un montant à titre de satisfaction équitable pour clôturer les procédures en règlement amiable instaurées par les requérants. Vu dans ce contexte, le remède indiqué par le Gouvernement ne saurait donc être considéré comme étant une voie de recours à épuiser pour se plaindre de la durée excessive d</w:t>
      </w:r>
      <w:r w:rsidR="00874348" w:rsidRPr="00874348">
        <w:rPr>
          <w:lang w:val="fr-FR"/>
        </w:rPr>
        <w:t>’</w:t>
      </w:r>
      <w:r w:rsidRPr="00874348">
        <w:rPr>
          <w:lang w:val="fr-FR"/>
        </w:rPr>
        <w:t>autres procédures, celles en dédommagement, entamées par les requérants dans certains cas dès la fin des années 1990 (voir les données résultant de la liste B en annexe). Ces considérations n</w:t>
      </w:r>
      <w:r w:rsidR="00874348" w:rsidRPr="00874348">
        <w:rPr>
          <w:lang w:val="fr-FR"/>
        </w:rPr>
        <w:t>’</w:t>
      </w:r>
      <w:r w:rsidRPr="00874348">
        <w:rPr>
          <w:lang w:val="fr-FR"/>
        </w:rPr>
        <w:t>enlèvent rien au constat que les requérants qui se sont toutefois prévalus de cette mesure</w:t>
      </w:r>
      <w:r w:rsidR="00A55C9F" w:rsidRPr="00874348">
        <w:rPr>
          <w:rStyle w:val="Rimandonotaapidipagina"/>
          <w:lang w:val="fr-FR"/>
        </w:rPr>
        <w:footnoteReference w:id="11"/>
      </w:r>
      <w:r w:rsidRPr="00874348">
        <w:rPr>
          <w:lang w:val="fr-FR"/>
        </w:rPr>
        <w:t xml:space="preserve"> ont renoncé à tout contentieux, y compris international </w:t>
      </w:r>
      <w:r w:rsidRPr="00874348">
        <w:rPr>
          <w:lang w:val="fr-FR"/>
        </w:rPr>
        <w:lastRenderedPageBreak/>
        <w:t>(paragraphes 151 à 154 ci-dessous), et que leur requête doit donc être rayée du rôle au sens de l</w:t>
      </w:r>
      <w:r w:rsidR="00874348" w:rsidRPr="00874348">
        <w:rPr>
          <w:lang w:val="fr-FR"/>
        </w:rPr>
        <w:t>’</w:t>
      </w:r>
      <w:r w:rsidRPr="00874348">
        <w:rPr>
          <w:lang w:val="fr-FR"/>
        </w:rPr>
        <w:t>article 37 § 1 a)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86</w:t>
      </w:r>
      <w:r w:rsidRPr="00874348">
        <w:rPr>
          <w:rFonts w:eastAsia="Times New Roman"/>
          <w:lang w:val="fr-FR"/>
        </w:rPr>
        <w:fldChar w:fldCharType="end"/>
      </w:r>
      <w:r w:rsidRPr="00874348">
        <w:rPr>
          <w:rFonts w:eastAsia="Times New Roman"/>
          <w:lang w:val="fr-FR"/>
        </w:rPr>
        <w:t>.  Pour le reste, la Cour constate que ce grief n</w:t>
      </w:r>
      <w:r w:rsidR="00874348" w:rsidRPr="00874348">
        <w:rPr>
          <w:rFonts w:eastAsia="Times New Roman"/>
          <w:lang w:val="fr-FR"/>
        </w:rPr>
        <w:t>’</w:t>
      </w:r>
      <w:r w:rsidRPr="00874348">
        <w:rPr>
          <w:rFonts w:eastAsia="Times New Roman"/>
          <w:lang w:val="fr-FR"/>
        </w:rPr>
        <w:t>est pas manifestement mal fondé au sens de l</w:t>
      </w:r>
      <w:r w:rsidR="00874348" w:rsidRPr="00874348">
        <w:rPr>
          <w:rFonts w:eastAsia="Times New Roman"/>
          <w:lang w:val="fr-FR"/>
        </w:rPr>
        <w:t>’</w:t>
      </w:r>
      <w:r w:rsidRPr="00874348">
        <w:rPr>
          <w:rFonts w:eastAsia="Times New Roman"/>
          <w:lang w:val="fr-FR"/>
        </w:rPr>
        <w:t>article 35 § 3 a) de la Convention et qu</w:t>
      </w:r>
      <w:r w:rsidR="00874348" w:rsidRPr="00874348">
        <w:rPr>
          <w:rFonts w:eastAsia="Times New Roman"/>
          <w:lang w:val="fr-FR"/>
        </w:rPr>
        <w:t>’</w:t>
      </w:r>
      <w:r w:rsidRPr="00874348">
        <w:rPr>
          <w:rFonts w:eastAsia="Times New Roman"/>
          <w:lang w:val="fr-FR"/>
        </w:rPr>
        <w:t>il ne se heurte par ailleurs à aucun autre motif d</w:t>
      </w:r>
      <w:r w:rsidR="00874348" w:rsidRPr="00874348">
        <w:rPr>
          <w:rFonts w:eastAsia="Times New Roman"/>
          <w:lang w:val="fr-FR"/>
        </w:rPr>
        <w:t>’</w:t>
      </w:r>
      <w:r w:rsidRPr="00874348">
        <w:rPr>
          <w:rFonts w:eastAsia="Times New Roman"/>
          <w:lang w:val="fr-FR"/>
        </w:rPr>
        <w:t>irrecevabilité. Elle le déclare donc recevable.</w:t>
      </w:r>
    </w:p>
    <w:p w:rsidR="00506071" w:rsidRPr="00874348" w:rsidRDefault="00506071" w:rsidP="00874348">
      <w:pPr>
        <w:pStyle w:val="ECHRHeading2"/>
        <w:ind w:left="0" w:firstLine="284"/>
        <w:rPr>
          <w:rFonts w:eastAsia="Times New Roman"/>
          <w:lang w:val="fr-FR"/>
        </w:rPr>
      </w:pPr>
      <w:r w:rsidRPr="00874348">
        <w:rPr>
          <w:rFonts w:eastAsia="Times New Roman"/>
          <w:lang w:val="fr-FR"/>
        </w:rPr>
        <w:t>B.  Sur le fond</w:t>
      </w:r>
    </w:p>
    <w:p w:rsidR="00506071" w:rsidRPr="00874348" w:rsidRDefault="00506071" w:rsidP="00874348">
      <w:pPr>
        <w:pStyle w:val="ECHRPara"/>
        <w:rPr>
          <w:rFonts w:eastAsia="Times New Roman"/>
          <w:szCs w:val="24"/>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87</w:t>
      </w:r>
      <w:r w:rsidRPr="00874348">
        <w:rPr>
          <w:rFonts w:eastAsia="Times New Roman"/>
          <w:lang w:val="fr-FR"/>
        </w:rPr>
        <w:fldChar w:fldCharType="end"/>
      </w:r>
      <w:r w:rsidRPr="00874348">
        <w:rPr>
          <w:rFonts w:eastAsia="Times New Roman"/>
          <w:lang w:val="fr-FR"/>
        </w:rPr>
        <w:t>.  Le Gouvernement n</w:t>
      </w:r>
      <w:r w:rsidR="00874348" w:rsidRPr="00874348">
        <w:rPr>
          <w:rFonts w:eastAsia="Times New Roman"/>
          <w:lang w:val="fr-FR"/>
        </w:rPr>
        <w:t>’</w:t>
      </w:r>
      <w:r w:rsidRPr="00874348">
        <w:rPr>
          <w:rFonts w:eastAsia="Times New Roman"/>
          <w:lang w:val="fr-FR"/>
        </w:rPr>
        <w:t>a pas présenté d</w:t>
      </w:r>
      <w:r w:rsidR="00874348" w:rsidRPr="00874348">
        <w:rPr>
          <w:rFonts w:eastAsia="Times New Roman"/>
          <w:lang w:val="fr-FR"/>
        </w:rPr>
        <w:t>’</w:t>
      </w:r>
      <w:r w:rsidRPr="00874348">
        <w:rPr>
          <w:rFonts w:eastAsia="Times New Roman"/>
          <w:lang w:val="fr-FR"/>
        </w:rPr>
        <w:t>observations sur le fond de ce grief.</w:t>
      </w:r>
    </w:p>
    <w:p w:rsidR="00506071" w:rsidRPr="00874348" w:rsidRDefault="00506071" w:rsidP="00874348">
      <w:pPr>
        <w:pStyle w:val="ECHRPara"/>
        <w:rPr>
          <w:szCs w:val="24"/>
          <w:lang w:val="fr-FR"/>
        </w:rPr>
      </w:pPr>
      <w:r w:rsidRPr="00874348">
        <w:rPr>
          <w:szCs w:val="24"/>
          <w:lang w:val="fr-FR"/>
        </w:rPr>
        <w:fldChar w:fldCharType="begin"/>
      </w:r>
      <w:r w:rsidRPr="00874348">
        <w:rPr>
          <w:szCs w:val="24"/>
          <w:lang w:val="fr-FR"/>
        </w:rPr>
        <w:instrText xml:space="preserve"> SEQ level0 \*arabic </w:instrText>
      </w:r>
      <w:r w:rsidRPr="00874348">
        <w:rPr>
          <w:szCs w:val="24"/>
          <w:lang w:val="fr-FR"/>
        </w:rPr>
        <w:fldChar w:fldCharType="separate"/>
      </w:r>
      <w:r w:rsidR="00874348" w:rsidRPr="00874348">
        <w:rPr>
          <w:noProof/>
          <w:szCs w:val="24"/>
          <w:lang w:val="fr-FR"/>
        </w:rPr>
        <w:t>88</w:t>
      </w:r>
      <w:r w:rsidRPr="00874348">
        <w:rPr>
          <w:szCs w:val="24"/>
          <w:lang w:val="fr-FR"/>
        </w:rPr>
        <w:fldChar w:fldCharType="end"/>
      </w:r>
      <w:r w:rsidRPr="00874348">
        <w:rPr>
          <w:szCs w:val="24"/>
          <w:lang w:val="fr-FR"/>
        </w:rPr>
        <w:t xml:space="preserve">.  Les requérants réitèrent leur doléance et font valoir que la durée des procédures civiles entamées par eux-mêmes ou par leur </w:t>
      </w:r>
      <w:r w:rsidRPr="00874348">
        <w:rPr>
          <w:i/>
          <w:szCs w:val="24"/>
          <w:lang w:val="fr-FR"/>
        </w:rPr>
        <w:t>de cujus</w:t>
      </w:r>
      <w:r w:rsidRPr="00874348">
        <w:rPr>
          <w:szCs w:val="24"/>
          <w:lang w:val="fr-FR"/>
        </w:rPr>
        <w:t xml:space="preserve"> en vue d</w:t>
      </w:r>
      <w:r w:rsidR="00874348" w:rsidRPr="00874348">
        <w:rPr>
          <w:szCs w:val="24"/>
          <w:lang w:val="fr-FR"/>
        </w:rPr>
        <w:t>’</w:t>
      </w:r>
      <w:r w:rsidRPr="00874348">
        <w:rPr>
          <w:szCs w:val="24"/>
          <w:lang w:val="fr-FR"/>
        </w:rPr>
        <w:t>obtenir le dédommagement du préjudice résultant des infections post-transfusionnelles contractées a été excessive.</w:t>
      </w:r>
    </w:p>
    <w:p w:rsidR="00506071" w:rsidRPr="00874348" w:rsidRDefault="00506071" w:rsidP="00874348">
      <w:pPr>
        <w:pStyle w:val="ECHRPara"/>
        <w:rPr>
          <w:i/>
          <w:lang w:val="fr-FR" w:eastAsia="fr-FR"/>
        </w:rPr>
      </w:pPr>
      <w:r w:rsidRPr="00874348">
        <w:rPr>
          <w:szCs w:val="24"/>
          <w:lang w:val="fr-FR"/>
        </w:rPr>
        <w:fldChar w:fldCharType="begin"/>
      </w:r>
      <w:r w:rsidRPr="00874348">
        <w:rPr>
          <w:szCs w:val="24"/>
          <w:lang w:val="fr-FR"/>
        </w:rPr>
        <w:instrText xml:space="preserve"> SEQ level0 \*arabic </w:instrText>
      </w:r>
      <w:r w:rsidRPr="00874348">
        <w:rPr>
          <w:szCs w:val="24"/>
          <w:lang w:val="fr-FR"/>
        </w:rPr>
        <w:fldChar w:fldCharType="separate"/>
      </w:r>
      <w:r w:rsidR="00874348" w:rsidRPr="00874348">
        <w:rPr>
          <w:noProof/>
          <w:szCs w:val="24"/>
          <w:lang w:val="fr-FR"/>
        </w:rPr>
        <w:t>89</w:t>
      </w:r>
      <w:r w:rsidRPr="00874348">
        <w:rPr>
          <w:szCs w:val="24"/>
          <w:lang w:val="fr-FR"/>
        </w:rPr>
        <w:fldChar w:fldCharType="end"/>
      </w:r>
      <w:r w:rsidRPr="00874348">
        <w:rPr>
          <w:szCs w:val="24"/>
          <w:lang w:val="fr-FR"/>
        </w:rPr>
        <w:t>.  La Cour rappelle avoir conclu à la violation de l</w:t>
      </w:r>
      <w:r w:rsidR="00874348" w:rsidRPr="00874348">
        <w:rPr>
          <w:szCs w:val="24"/>
          <w:lang w:val="fr-FR"/>
        </w:rPr>
        <w:t>’</w:t>
      </w:r>
      <w:r w:rsidRPr="00874348">
        <w:rPr>
          <w:szCs w:val="24"/>
          <w:lang w:val="fr-FR"/>
        </w:rPr>
        <w:t>article 2 de la Convention, sous son volet procédural, dans l</w:t>
      </w:r>
      <w:r w:rsidR="00874348" w:rsidRPr="00874348">
        <w:rPr>
          <w:szCs w:val="24"/>
          <w:lang w:val="fr-FR"/>
        </w:rPr>
        <w:t>’</w:t>
      </w:r>
      <w:r w:rsidRPr="00874348">
        <w:rPr>
          <w:szCs w:val="24"/>
          <w:lang w:val="fr-FR"/>
        </w:rPr>
        <w:t xml:space="preserve">affaire </w:t>
      </w:r>
      <w:r w:rsidRPr="00874348">
        <w:rPr>
          <w:i/>
          <w:szCs w:val="24"/>
          <w:lang w:val="fr-FR"/>
        </w:rPr>
        <w:t>G.N. et autres c. Italie</w:t>
      </w:r>
      <w:r w:rsidRPr="00874348">
        <w:rPr>
          <w:szCs w:val="24"/>
          <w:lang w:val="fr-FR"/>
        </w:rPr>
        <w:t>, (</w:t>
      </w:r>
      <w:r w:rsidRPr="00874348">
        <w:rPr>
          <w:lang w:val="fr-FR" w:eastAsia="fr-FR"/>
        </w:rPr>
        <w:t>n</w:t>
      </w:r>
      <w:r w:rsidRPr="00874348">
        <w:rPr>
          <w:vertAlign w:val="superscript"/>
          <w:lang w:val="fr-FR" w:eastAsia="fr-FR"/>
        </w:rPr>
        <w:t>o</w:t>
      </w:r>
      <w:r w:rsidRPr="00874348">
        <w:rPr>
          <w:lang w:val="fr-FR" w:eastAsia="fr-FR"/>
        </w:rPr>
        <w:t xml:space="preserve"> 43134/05</w:t>
      </w:r>
      <w:r w:rsidRPr="00874348">
        <w:rPr>
          <w:snapToGrid w:val="0"/>
          <w:lang w:val="fr-FR" w:eastAsia="fr-FR"/>
        </w:rPr>
        <w:t>, 1</w:t>
      </w:r>
      <w:r w:rsidRPr="00874348">
        <w:rPr>
          <w:snapToGrid w:val="0"/>
          <w:vertAlign w:val="superscript"/>
          <w:lang w:val="fr-FR" w:eastAsia="fr-FR"/>
        </w:rPr>
        <w:t>er</w:t>
      </w:r>
      <w:r w:rsidRPr="00874348">
        <w:rPr>
          <w:lang w:val="fr-FR" w:eastAsia="fr-FR"/>
        </w:rPr>
        <w:t xml:space="preserve"> décembre</w:t>
      </w:r>
      <w:r w:rsidRPr="00874348">
        <w:rPr>
          <w:snapToGrid w:val="0"/>
          <w:lang w:val="fr-FR" w:eastAsia="fr-FR"/>
        </w:rPr>
        <w:t xml:space="preserve"> 2009</w:t>
      </w:r>
      <w:r w:rsidRPr="00874348">
        <w:rPr>
          <w:szCs w:val="24"/>
          <w:lang w:val="fr-FR"/>
        </w:rPr>
        <w:t>) en raison de la longueur des procédures civiles introduites par les requérants en vue d</w:t>
      </w:r>
      <w:r w:rsidR="00874348" w:rsidRPr="00874348">
        <w:rPr>
          <w:szCs w:val="24"/>
          <w:lang w:val="fr-FR"/>
        </w:rPr>
        <w:t>’</w:t>
      </w:r>
      <w:r w:rsidRPr="00874348">
        <w:rPr>
          <w:szCs w:val="24"/>
          <w:lang w:val="fr-FR"/>
        </w:rPr>
        <w:t>obtenir le dédommagement du préjudice subi en raison de leurs infections post-transfusionnelles.</w:t>
      </w:r>
    </w:p>
    <w:p w:rsidR="00506071" w:rsidRPr="00874348" w:rsidRDefault="00506071" w:rsidP="00874348">
      <w:pPr>
        <w:pStyle w:val="ECHRPara"/>
        <w:rPr>
          <w:snapToGrid w:val="0"/>
          <w:szCs w:val="24"/>
          <w:lang w:val="fr-FR" w:eastAsia="fr-FR"/>
        </w:rPr>
      </w:pPr>
      <w:r w:rsidRPr="00874348">
        <w:rPr>
          <w:snapToGrid w:val="0"/>
          <w:szCs w:val="24"/>
          <w:lang w:val="fr-FR" w:eastAsia="fr-FR"/>
        </w:rPr>
        <w:fldChar w:fldCharType="begin"/>
      </w:r>
      <w:r w:rsidRPr="00874348">
        <w:rPr>
          <w:snapToGrid w:val="0"/>
          <w:szCs w:val="24"/>
          <w:lang w:val="fr-FR" w:eastAsia="fr-FR"/>
        </w:rPr>
        <w:instrText xml:space="preserve"> SEQ level0 \*arabic </w:instrText>
      </w:r>
      <w:r w:rsidRPr="00874348">
        <w:rPr>
          <w:snapToGrid w:val="0"/>
          <w:szCs w:val="24"/>
          <w:lang w:val="fr-FR" w:eastAsia="fr-FR"/>
        </w:rPr>
        <w:fldChar w:fldCharType="separate"/>
      </w:r>
      <w:r w:rsidR="00874348" w:rsidRPr="00874348">
        <w:rPr>
          <w:noProof/>
          <w:snapToGrid w:val="0"/>
          <w:szCs w:val="24"/>
          <w:lang w:val="fr-FR" w:eastAsia="fr-FR"/>
        </w:rPr>
        <w:t>90</w:t>
      </w:r>
      <w:r w:rsidRPr="00874348">
        <w:rPr>
          <w:snapToGrid w:val="0"/>
          <w:szCs w:val="24"/>
          <w:lang w:val="fr-FR" w:eastAsia="fr-FR"/>
        </w:rPr>
        <w:fldChar w:fldCharType="end"/>
      </w:r>
      <w:r w:rsidRPr="00874348">
        <w:rPr>
          <w:snapToGrid w:val="0"/>
          <w:szCs w:val="24"/>
          <w:lang w:val="fr-FR" w:eastAsia="fr-FR"/>
        </w:rPr>
        <w:t>.  Quant aux présentes requêtes, elle se réfère aux donnés résultant de la liste B en annexe concernant les procédures internes en dédommagement entamées par les trois cent soixante-dix-huit requérants ayant introduit les quatorze requêtes encore concernées par ce grief.</w:t>
      </w:r>
    </w:p>
    <w:p w:rsidR="00506071" w:rsidRPr="00874348" w:rsidRDefault="00506071" w:rsidP="00874348">
      <w:pPr>
        <w:pStyle w:val="ECHRPara"/>
        <w:rPr>
          <w:snapToGrid w:val="0"/>
          <w:szCs w:val="24"/>
          <w:lang w:val="fr-FR" w:eastAsia="fr-FR"/>
        </w:rPr>
      </w:pPr>
      <w:r w:rsidRPr="00874348">
        <w:rPr>
          <w:snapToGrid w:val="0"/>
          <w:szCs w:val="24"/>
          <w:lang w:val="fr-FR" w:eastAsia="fr-FR"/>
        </w:rPr>
        <w:fldChar w:fldCharType="begin"/>
      </w:r>
      <w:r w:rsidRPr="00874348">
        <w:rPr>
          <w:snapToGrid w:val="0"/>
          <w:szCs w:val="24"/>
          <w:lang w:val="fr-FR" w:eastAsia="fr-FR"/>
        </w:rPr>
        <w:instrText xml:space="preserve"> SEQ level0 \*arabic </w:instrText>
      </w:r>
      <w:r w:rsidRPr="00874348">
        <w:rPr>
          <w:snapToGrid w:val="0"/>
          <w:szCs w:val="24"/>
          <w:lang w:val="fr-FR" w:eastAsia="fr-FR"/>
        </w:rPr>
        <w:fldChar w:fldCharType="separate"/>
      </w:r>
      <w:r w:rsidR="00874348" w:rsidRPr="00874348">
        <w:rPr>
          <w:noProof/>
          <w:snapToGrid w:val="0"/>
          <w:szCs w:val="24"/>
          <w:lang w:val="fr-FR" w:eastAsia="fr-FR"/>
        </w:rPr>
        <w:t>91</w:t>
      </w:r>
      <w:r w:rsidRPr="00874348">
        <w:rPr>
          <w:snapToGrid w:val="0"/>
          <w:szCs w:val="24"/>
          <w:lang w:val="fr-FR" w:eastAsia="fr-FR"/>
        </w:rPr>
        <w:fldChar w:fldCharType="end"/>
      </w:r>
      <w:r w:rsidRPr="00874348">
        <w:rPr>
          <w:snapToGrid w:val="0"/>
          <w:szCs w:val="24"/>
          <w:lang w:val="fr-FR" w:eastAsia="fr-FR"/>
        </w:rPr>
        <w:t>.  Elle observe que lesdites procédures ont eu une durée allant, selon le cas, de cinq ans et trois mois à douze ans et dix mois pour un degré de juridiction, de sept ans à quatorze ans et sept mois pour deux degrés de juridiction et de onze ans et trois mois à quatorze ans et un mois pour trois degrés de juridictions. Selon les documents fournis par les requérants, la plupart de ces procédures étaient pendantes devant différents degrés de juridiction à la date de la présentation des observations. Le Gouvernement n</w:t>
      </w:r>
      <w:r w:rsidR="00874348" w:rsidRPr="00874348">
        <w:rPr>
          <w:snapToGrid w:val="0"/>
          <w:szCs w:val="24"/>
          <w:lang w:val="fr-FR" w:eastAsia="fr-FR"/>
        </w:rPr>
        <w:t>’</w:t>
      </w:r>
      <w:r w:rsidRPr="00874348">
        <w:rPr>
          <w:snapToGrid w:val="0"/>
          <w:szCs w:val="24"/>
          <w:lang w:val="fr-FR" w:eastAsia="fr-FR"/>
        </w:rPr>
        <w:t>a pas fourni d</w:t>
      </w:r>
      <w:r w:rsidR="00874348" w:rsidRPr="00874348">
        <w:rPr>
          <w:snapToGrid w:val="0"/>
          <w:szCs w:val="24"/>
          <w:lang w:val="fr-FR" w:eastAsia="fr-FR"/>
        </w:rPr>
        <w:t>’</w:t>
      </w:r>
      <w:r w:rsidRPr="00874348">
        <w:rPr>
          <w:snapToGrid w:val="0"/>
          <w:szCs w:val="24"/>
          <w:lang w:val="fr-FR" w:eastAsia="fr-FR"/>
        </w:rPr>
        <w:t>informations contraires.</w:t>
      </w:r>
    </w:p>
    <w:p w:rsidR="00506071" w:rsidRPr="00874348" w:rsidRDefault="00506071" w:rsidP="00874348">
      <w:pPr>
        <w:pStyle w:val="ECHRPara"/>
        <w:rPr>
          <w:szCs w:val="24"/>
          <w:lang w:val="fr-FR"/>
        </w:rPr>
      </w:pPr>
      <w:r w:rsidRPr="00874348">
        <w:rPr>
          <w:szCs w:val="24"/>
          <w:lang w:val="fr-FR"/>
        </w:rPr>
        <w:fldChar w:fldCharType="begin"/>
      </w:r>
      <w:r w:rsidRPr="00874348">
        <w:rPr>
          <w:szCs w:val="24"/>
          <w:lang w:val="fr-FR"/>
        </w:rPr>
        <w:instrText xml:space="preserve"> SEQ level0 \*arabic </w:instrText>
      </w:r>
      <w:r w:rsidRPr="00874348">
        <w:rPr>
          <w:szCs w:val="24"/>
          <w:lang w:val="fr-FR"/>
        </w:rPr>
        <w:fldChar w:fldCharType="separate"/>
      </w:r>
      <w:r w:rsidR="00874348" w:rsidRPr="00874348">
        <w:rPr>
          <w:noProof/>
          <w:szCs w:val="24"/>
          <w:lang w:val="fr-FR"/>
        </w:rPr>
        <w:t>92</w:t>
      </w:r>
      <w:r w:rsidRPr="00874348">
        <w:rPr>
          <w:szCs w:val="24"/>
          <w:lang w:val="fr-FR"/>
        </w:rPr>
        <w:fldChar w:fldCharType="end"/>
      </w:r>
      <w:r w:rsidRPr="00874348">
        <w:rPr>
          <w:szCs w:val="24"/>
          <w:lang w:val="fr-FR"/>
        </w:rPr>
        <w:t>.  Se référant aux conclusions auxquelles elle a abouti dans l</w:t>
      </w:r>
      <w:r w:rsidR="00874348" w:rsidRPr="00874348">
        <w:rPr>
          <w:szCs w:val="24"/>
          <w:lang w:val="fr-FR"/>
        </w:rPr>
        <w:t>’</w:t>
      </w:r>
      <w:r w:rsidRPr="00874348">
        <w:rPr>
          <w:szCs w:val="24"/>
          <w:lang w:val="fr-FR"/>
        </w:rPr>
        <w:t xml:space="preserve">arrêt </w:t>
      </w:r>
      <w:r w:rsidR="00313171" w:rsidRPr="00874348">
        <w:rPr>
          <w:i/>
          <w:szCs w:val="24"/>
          <w:lang w:val="fr-FR"/>
        </w:rPr>
        <w:t>G.N. </w:t>
      </w:r>
      <w:r w:rsidRPr="00874348">
        <w:rPr>
          <w:i/>
          <w:szCs w:val="24"/>
          <w:lang w:val="fr-FR"/>
        </w:rPr>
        <w:t>et autres c. Italie</w:t>
      </w:r>
      <w:r w:rsidRPr="00874348">
        <w:rPr>
          <w:szCs w:val="24"/>
          <w:lang w:val="fr-FR"/>
        </w:rPr>
        <w:t xml:space="preserve"> (précité, §§ 101-102), la Cour estime que la durée des procédures en cause a été excessive et que les autorités italiennes, face à un grief défendable tiré de l</w:t>
      </w:r>
      <w:r w:rsidR="00874348" w:rsidRPr="00874348">
        <w:rPr>
          <w:szCs w:val="24"/>
          <w:lang w:val="fr-FR"/>
        </w:rPr>
        <w:t>’</w:t>
      </w:r>
      <w:r w:rsidRPr="00874348">
        <w:rPr>
          <w:szCs w:val="24"/>
          <w:lang w:val="fr-FR"/>
        </w:rPr>
        <w:t>article 2 de la Convention, ont manqué d</w:t>
      </w:r>
      <w:r w:rsidR="00874348" w:rsidRPr="00874348">
        <w:rPr>
          <w:szCs w:val="24"/>
          <w:lang w:val="fr-FR"/>
        </w:rPr>
        <w:t>’</w:t>
      </w:r>
      <w:r w:rsidRPr="00874348">
        <w:rPr>
          <w:szCs w:val="24"/>
          <w:lang w:val="fr-FR"/>
        </w:rPr>
        <w:t>offrir une réponse adéquate et rapide conforme aux obligations procédurales qui découlent de cette disposition.</w:t>
      </w:r>
    </w:p>
    <w:p w:rsidR="00506071" w:rsidRPr="00874348" w:rsidRDefault="00506071" w:rsidP="00874348">
      <w:pPr>
        <w:pStyle w:val="ECHRPara"/>
        <w:rPr>
          <w:szCs w:val="24"/>
          <w:lang w:val="fr-FR"/>
        </w:rPr>
      </w:pPr>
      <w:r w:rsidRPr="00874348">
        <w:rPr>
          <w:szCs w:val="24"/>
          <w:lang w:val="fr-FR"/>
        </w:rPr>
        <w:fldChar w:fldCharType="begin"/>
      </w:r>
      <w:r w:rsidRPr="00874348">
        <w:rPr>
          <w:szCs w:val="24"/>
          <w:lang w:val="fr-FR"/>
        </w:rPr>
        <w:instrText xml:space="preserve"> SEQ level0 \*arabic </w:instrText>
      </w:r>
      <w:r w:rsidRPr="00874348">
        <w:rPr>
          <w:szCs w:val="24"/>
          <w:lang w:val="fr-FR"/>
        </w:rPr>
        <w:fldChar w:fldCharType="separate"/>
      </w:r>
      <w:r w:rsidR="00874348" w:rsidRPr="00874348">
        <w:rPr>
          <w:noProof/>
          <w:szCs w:val="24"/>
          <w:lang w:val="fr-FR"/>
        </w:rPr>
        <w:t>93</w:t>
      </w:r>
      <w:r w:rsidRPr="00874348">
        <w:rPr>
          <w:szCs w:val="24"/>
          <w:lang w:val="fr-FR"/>
        </w:rPr>
        <w:fldChar w:fldCharType="end"/>
      </w:r>
      <w:r w:rsidRPr="00874348">
        <w:rPr>
          <w:szCs w:val="24"/>
          <w:lang w:val="fr-FR"/>
        </w:rPr>
        <w:t>.  Elle relève en outre que le Gouvernement n</w:t>
      </w:r>
      <w:r w:rsidR="00874348" w:rsidRPr="00874348">
        <w:rPr>
          <w:szCs w:val="24"/>
          <w:lang w:val="fr-FR"/>
        </w:rPr>
        <w:t>’</w:t>
      </w:r>
      <w:r w:rsidRPr="00874348">
        <w:rPr>
          <w:szCs w:val="24"/>
          <w:lang w:val="fr-FR"/>
        </w:rPr>
        <w:t>a pas fourni d</w:t>
      </w:r>
      <w:r w:rsidR="00874348" w:rsidRPr="00874348">
        <w:rPr>
          <w:szCs w:val="24"/>
          <w:lang w:val="fr-FR"/>
        </w:rPr>
        <w:t>’</w:t>
      </w:r>
      <w:r w:rsidRPr="00874348">
        <w:rPr>
          <w:szCs w:val="24"/>
          <w:lang w:val="fr-FR"/>
        </w:rPr>
        <w:t>arguments permettant d</w:t>
      </w:r>
      <w:r w:rsidR="00874348" w:rsidRPr="00874348">
        <w:rPr>
          <w:szCs w:val="24"/>
          <w:lang w:val="fr-FR"/>
        </w:rPr>
        <w:t>’</w:t>
      </w:r>
      <w:r w:rsidRPr="00874348">
        <w:rPr>
          <w:szCs w:val="24"/>
          <w:lang w:val="fr-FR"/>
        </w:rPr>
        <w:t>aboutir à une conclusion différente dans les cas d</w:t>
      </w:r>
      <w:r w:rsidR="00874348" w:rsidRPr="00874348">
        <w:rPr>
          <w:szCs w:val="24"/>
          <w:lang w:val="fr-FR"/>
        </w:rPr>
        <w:t>’</w:t>
      </w:r>
      <w:r w:rsidRPr="00874348">
        <w:rPr>
          <w:szCs w:val="24"/>
          <w:lang w:val="fr-FR"/>
        </w:rPr>
        <w:t>espèce.</w:t>
      </w:r>
    </w:p>
    <w:p w:rsidR="00506071" w:rsidRPr="00874348" w:rsidRDefault="00506071" w:rsidP="00874348">
      <w:pPr>
        <w:pStyle w:val="ECHRPara"/>
        <w:rPr>
          <w:szCs w:val="24"/>
          <w:lang w:val="fr-FR"/>
        </w:rPr>
      </w:pPr>
      <w:r w:rsidRPr="00874348">
        <w:rPr>
          <w:szCs w:val="24"/>
          <w:lang w:val="fr-FR"/>
        </w:rPr>
        <w:fldChar w:fldCharType="begin"/>
      </w:r>
      <w:r w:rsidRPr="00874348">
        <w:rPr>
          <w:szCs w:val="24"/>
          <w:lang w:val="fr-FR"/>
        </w:rPr>
        <w:instrText xml:space="preserve"> SEQ level0 \*arabic </w:instrText>
      </w:r>
      <w:r w:rsidRPr="00874348">
        <w:rPr>
          <w:szCs w:val="24"/>
          <w:lang w:val="fr-FR"/>
        </w:rPr>
        <w:fldChar w:fldCharType="separate"/>
      </w:r>
      <w:r w:rsidR="00874348" w:rsidRPr="00874348">
        <w:rPr>
          <w:noProof/>
          <w:szCs w:val="24"/>
          <w:lang w:val="fr-FR"/>
        </w:rPr>
        <w:t>94</w:t>
      </w:r>
      <w:r w:rsidRPr="00874348">
        <w:rPr>
          <w:szCs w:val="24"/>
          <w:lang w:val="fr-FR"/>
        </w:rPr>
        <w:fldChar w:fldCharType="end"/>
      </w:r>
      <w:r w:rsidRPr="00874348">
        <w:rPr>
          <w:szCs w:val="24"/>
          <w:lang w:val="fr-FR"/>
        </w:rPr>
        <w:t>.  Partant, elle conclut qu</w:t>
      </w:r>
      <w:r w:rsidR="00874348" w:rsidRPr="00874348">
        <w:rPr>
          <w:szCs w:val="24"/>
          <w:lang w:val="fr-FR"/>
        </w:rPr>
        <w:t>’</w:t>
      </w:r>
      <w:r w:rsidRPr="00874348">
        <w:rPr>
          <w:szCs w:val="24"/>
          <w:lang w:val="fr-FR"/>
        </w:rPr>
        <w:t>il y a eu violation de l</w:t>
      </w:r>
      <w:r w:rsidR="00874348" w:rsidRPr="00874348">
        <w:rPr>
          <w:szCs w:val="24"/>
          <w:lang w:val="fr-FR"/>
        </w:rPr>
        <w:t>’</w:t>
      </w:r>
      <w:r w:rsidRPr="00874348">
        <w:rPr>
          <w:szCs w:val="24"/>
          <w:lang w:val="fr-FR"/>
        </w:rPr>
        <w:t>article 2 de la Convention, sous son volet procédural.</w:t>
      </w:r>
    </w:p>
    <w:p w:rsidR="00506071" w:rsidRPr="00874348" w:rsidRDefault="00506071" w:rsidP="00874348">
      <w:pPr>
        <w:pStyle w:val="ECHRHeading1"/>
        <w:rPr>
          <w:rFonts w:eastAsia="Times New Roman"/>
          <w:lang w:val="fr-FR"/>
        </w:rPr>
      </w:pPr>
      <w:r w:rsidRPr="00874348">
        <w:rPr>
          <w:rFonts w:eastAsia="Times New Roman"/>
          <w:lang w:val="fr-FR"/>
        </w:rPr>
        <w:lastRenderedPageBreak/>
        <w:t>IV.  SUR LES AUTRES GRIEFS</w:t>
      </w:r>
    </w:p>
    <w:p w:rsidR="00506071" w:rsidRPr="00874348" w:rsidRDefault="00506071" w:rsidP="00874348">
      <w:pPr>
        <w:pStyle w:val="ECHRHeading2"/>
        <w:rPr>
          <w:rFonts w:eastAsia="Times New Roman"/>
          <w:lang w:val="fr-FR"/>
        </w:rPr>
      </w:pPr>
      <w:r w:rsidRPr="00874348">
        <w:rPr>
          <w:rFonts w:eastAsia="Times New Roman"/>
          <w:lang w:val="fr-FR"/>
        </w:rPr>
        <w:t>A.  Les différentes doléances</w:t>
      </w:r>
    </w:p>
    <w:p w:rsidR="00506071" w:rsidRPr="00874348" w:rsidRDefault="00506071" w:rsidP="00874348">
      <w:pPr>
        <w:pStyle w:val="ECHRHeading3"/>
        <w:rPr>
          <w:rFonts w:eastAsia="Times New Roman"/>
          <w:lang w:val="fr-FR"/>
        </w:rPr>
      </w:pPr>
      <w:r w:rsidRPr="00874348">
        <w:rPr>
          <w:rFonts w:eastAsia="Times New Roman"/>
          <w:lang w:val="fr-FR"/>
        </w:rPr>
        <w:t>1.  Grief commun aux requêtes indiquées aux n</w:t>
      </w:r>
      <w:r w:rsidRPr="00874348">
        <w:rPr>
          <w:rFonts w:eastAsia="Times New Roman"/>
          <w:vertAlign w:val="superscript"/>
          <w:lang w:val="fr-FR"/>
        </w:rPr>
        <w:t>os</w:t>
      </w:r>
      <w:r w:rsidRPr="00874348">
        <w:rPr>
          <w:rFonts w:eastAsia="Times New Roman"/>
          <w:lang w:val="fr-FR"/>
        </w:rPr>
        <w:t xml:space="preserve"> 16 à 19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95</w:t>
      </w:r>
      <w:r w:rsidRPr="00874348">
        <w:rPr>
          <w:rFonts w:eastAsia="Times New Roman"/>
          <w:lang w:val="fr-FR"/>
        </w:rPr>
        <w:fldChar w:fldCharType="end"/>
      </w:r>
      <w:r w:rsidRPr="00874348">
        <w:rPr>
          <w:rFonts w:eastAsia="Times New Roman"/>
          <w:lang w:val="fr-FR"/>
        </w:rPr>
        <w:t>.  Invoquant l</w:t>
      </w:r>
      <w:r w:rsidR="00874348" w:rsidRPr="00874348">
        <w:rPr>
          <w:rFonts w:eastAsia="Times New Roman"/>
          <w:lang w:val="fr-FR"/>
        </w:rPr>
        <w:t>’</w:t>
      </w:r>
      <w:r w:rsidRPr="00874348">
        <w:rPr>
          <w:rFonts w:eastAsia="Times New Roman"/>
          <w:lang w:val="fr-FR"/>
        </w:rPr>
        <w:t>article 2 de la Convention sous son volet procédural, les requérants se plaignent d</w:t>
      </w:r>
      <w:r w:rsidR="00874348" w:rsidRPr="00874348">
        <w:rPr>
          <w:rFonts w:eastAsia="Times New Roman"/>
          <w:lang w:val="fr-FR"/>
        </w:rPr>
        <w:t>’</w:t>
      </w:r>
      <w:r w:rsidRPr="00874348">
        <w:rPr>
          <w:rFonts w:eastAsia="Times New Roman"/>
          <w:lang w:val="fr-FR"/>
        </w:rPr>
        <w:t xml:space="preserve">une violation de leur droit à la vie ou de celui de leurs </w:t>
      </w:r>
      <w:r w:rsidRPr="00874348">
        <w:rPr>
          <w:rFonts w:eastAsia="Times New Roman"/>
          <w:i/>
          <w:lang w:val="fr-FR"/>
        </w:rPr>
        <w:t xml:space="preserve">de cujus. </w:t>
      </w:r>
      <w:r w:rsidRPr="00874348">
        <w:rPr>
          <w:rFonts w:eastAsia="Times New Roman"/>
          <w:lang w:val="fr-FR"/>
        </w:rPr>
        <w:t>Ils reprochent au Gouvernement de ne pas avoir pris les mesures nécessaires afin de faire aboutir les règlements à l</w:t>
      </w:r>
      <w:r w:rsidR="00874348" w:rsidRPr="00874348">
        <w:rPr>
          <w:rFonts w:eastAsia="Times New Roman"/>
          <w:lang w:val="fr-FR"/>
        </w:rPr>
        <w:t>’</w:t>
      </w:r>
      <w:r w:rsidRPr="00874348">
        <w:rPr>
          <w:rFonts w:eastAsia="Times New Roman"/>
          <w:lang w:val="fr-FR"/>
        </w:rPr>
        <w:t>amiable auxquels ils ont demandé d</w:t>
      </w:r>
      <w:r w:rsidR="00874348" w:rsidRPr="00874348">
        <w:rPr>
          <w:rFonts w:eastAsia="Times New Roman"/>
          <w:lang w:val="fr-FR"/>
        </w:rPr>
        <w:t>’</w:t>
      </w:r>
      <w:r w:rsidRPr="00874348">
        <w:rPr>
          <w:rFonts w:eastAsia="Times New Roman"/>
          <w:lang w:val="fr-FR"/>
        </w:rPr>
        <w:t>accéder.</w:t>
      </w:r>
    </w:p>
    <w:p w:rsidR="00506071" w:rsidRPr="00874348" w:rsidRDefault="00506071" w:rsidP="00874348">
      <w:pPr>
        <w:pStyle w:val="ECHRHeading3"/>
        <w:rPr>
          <w:rFonts w:eastAsia="Times New Roman"/>
          <w:lang w:val="fr-FR"/>
        </w:rPr>
      </w:pPr>
      <w:r w:rsidRPr="00874348">
        <w:rPr>
          <w:rFonts w:eastAsia="Times New Roman"/>
          <w:lang w:val="fr-FR"/>
        </w:rPr>
        <w:t>2.  Article 6 § 1 de la Convention (principe de la sécurité juridique et de l</w:t>
      </w:r>
      <w:r w:rsidR="00874348" w:rsidRPr="00874348">
        <w:rPr>
          <w:rFonts w:eastAsia="Times New Roman"/>
          <w:lang w:val="fr-FR"/>
        </w:rPr>
        <w:t>’</w:t>
      </w:r>
      <w:r w:rsidRPr="00874348">
        <w:rPr>
          <w:rFonts w:eastAsia="Times New Roman"/>
          <w:lang w:val="fr-FR"/>
        </w:rPr>
        <w:t>égalité des armes)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96</w:t>
      </w:r>
      <w:r w:rsidRPr="00874348">
        <w:rPr>
          <w:rFonts w:eastAsia="Times New Roman"/>
          <w:lang w:val="fr-FR"/>
        </w:rPr>
        <w:fldChar w:fldCharType="end"/>
      </w:r>
      <w:r w:rsidRPr="00874348">
        <w:rPr>
          <w:rFonts w:eastAsia="Times New Roman"/>
          <w:lang w:val="fr-FR"/>
        </w:rPr>
        <w:t>.  Invoquant l</w:t>
      </w:r>
      <w:r w:rsidR="00874348" w:rsidRPr="00874348">
        <w:rPr>
          <w:rFonts w:eastAsia="Times New Roman"/>
          <w:lang w:val="fr-FR"/>
        </w:rPr>
        <w:t>’</w:t>
      </w:r>
      <w:r w:rsidRPr="00874348">
        <w:rPr>
          <w:rFonts w:eastAsia="Times New Roman"/>
          <w:lang w:val="fr-FR"/>
        </w:rPr>
        <w:t>article 6 § 1 de la Convention, les requérants des requêtes indiquées aux n</w:t>
      </w:r>
      <w:r w:rsidRPr="00874348">
        <w:rPr>
          <w:rFonts w:eastAsia="Times New Roman"/>
          <w:vertAlign w:val="superscript"/>
          <w:lang w:val="fr-FR"/>
        </w:rPr>
        <w:t>os</w:t>
      </w:r>
      <w:r w:rsidRPr="00874348">
        <w:rPr>
          <w:rFonts w:eastAsia="Times New Roman"/>
          <w:lang w:val="fr-FR"/>
        </w:rPr>
        <w:t xml:space="preserve"> 1 à 3 et 6 à 15 dans la liste B en annexe se plaignent de la méconnaissance du principe de la sécurité juridique et de celui de l</w:t>
      </w:r>
      <w:r w:rsidR="00874348" w:rsidRPr="00874348">
        <w:rPr>
          <w:rFonts w:eastAsia="Times New Roman"/>
          <w:lang w:val="fr-FR"/>
        </w:rPr>
        <w:t>’</w:t>
      </w:r>
      <w:r w:rsidRPr="00874348">
        <w:rPr>
          <w:rFonts w:eastAsia="Times New Roman"/>
          <w:lang w:val="fr-FR"/>
        </w:rPr>
        <w:t>égalité des armes en ce que, par le décret n</w:t>
      </w:r>
      <w:r w:rsidRPr="00874348">
        <w:rPr>
          <w:rFonts w:eastAsia="Times New Roman"/>
          <w:vertAlign w:val="superscript"/>
          <w:lang w:val="fr-FR"/>
        </w:rPr>
        <w:t>o</w:t>
      </w:r>
      <w:r w:rsidRPr="00874348">
        <w:rPr>
          <w:rFonts w:eastAsia="Times New Roman"/>
          <w:lang w:val="fr-FR"/>
        </w:rPr>
        <w:t xml:space="preserve"> 162/12, le Gouvernement a établi des nouveaux critères leur empêchant d</w:t>
      </w:r>
      <w:r w:rsidR="00874348" w:rsidRPr="00874348">
        <w:rPr>
          <w:rFonts w:eastAsia="Times New Roman"/>
          <w:lang w:val="fr-FR"/>
        </w:rPr>
        <w:t>’</w:t>
      </w:r>
      <w:r w:rsidRPr="00874348">
        <w:rPr>
          <w:rFonts w:eastAsia="Times New Roman"/>
          <w:lang w:val="fr-FR"/>
        </w:rPr>
        <w:t>accéder à la procédure de transaction de leurs affaires.</w:t>
      </w:r>
    </w:p>
    <w:p w:rsidR="00506071" w:rsidRPr="00874348" w:rsidRDefault="00506071" w:rsidP="00874348">
      <w:pPr>
        <w:pStyle w:val="ECHRHeading3"/>
        <w:rPr>
          <w:rFonts w:eastAsia="Times New Roman"/>
          <w:lang w:val="fr-FR"/>
        </w:rPr>
      </w:pPr>
      <w:r w:rsidRPr="00874348">
        <w:rPr>
          <w:rFonts w:eastAsia="Times New Roman"/>
          <w:lang w:val="fr-FR"/>
        </w:rPr>
        <w:t>3.  Article 6 § 1 de la Convention (durée de la procédure)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97</w:t>
      </w:r>
      <w:r w:rsidRPr="00874348">
        <w:rPr>
          <w:rFonts w:eastAsia="Times New Roman"/>
          <w:lang w:val="fr-FR"/>
        </w:rPr>
        <w:fldChar w:fldCharType="end"/>
      </w:r>
      <w:r w:rsidRPr="00874348">
        <w:rPr>
          <w:rFonts w:eastAsia="Times New Roman"/>
          <w:lang w:val="fr-FR"/>
        </w:rPr>
        <w:t>.  Les requérants des requêtes n</w:t>
      </w:r>
      <w:r w:rsidRPr="00874348">
        <w:rPr>
          <w:rFonts w:eastAsia="Times New Roman"/>
          <w:vertAlign w:val="superscript"/>
          <w:lang w:val="fr-FR"/>
        </w:rPr>
        <w:t>os</w:t>
      </w:r>
      <w:r w:rsidRPr="00874348">
        <w:rPr>
          <w:rFonts w:eastAsia="Times New Roman"/>
          <w:lang w:val="fr-FR"/>
        </w:rPr>
        <w:t xml:space="preserve"> 158/12 et 3892/12 estiment que le retard injustifié de la conclusion des règlements à l</w:t>
      </w:r>
      <w:r w:rsidR="00874348" w:rsidRPr="00874348">
        <w:rPr>
          <w:rFonts w:eastAsia="Times New Roman"/>
          <w:lang w:val="fr-FR"/>
        </w:rPr>
        <w:t>’</w:t>
      </w:r>
      <w:r w:rsidRPr="00874348">
        <w:rPr>
          <w:rFonts w:eastAsia="Times New Roman"/>
          <w:lang w:val="fr-FR"/>
        </w:rPr>
        <w:t>amiable et des procédures en indemnisation, a également entraîné une violation de l</w:t>
      </w:r>
      <w:r w:rsidR="00874348" w:rsidRPr="00874348">
        <w:rPr>
          <w:rFonts w:eastAsia="Times New Roman"/>
          <w:lang w:val="fr-FR"/>
        </w:rPr>
        <w:t>’</w:t>
      </w:r>
      <w:r w:rsidR="00313171" w:rsidRPr="00874348">
        <w:rPr>
          <w:rFonts w:eastAsia="Times New Roman"/>
          <w:lang w:val="fr-FR"/>
        </w:rPr>
        <w:t>article </w:t>
      </w:r>
      <w:r w:rsidRPr="00874348">
        <w:rPr>
          <w:rFonts w:eastAsia="Times New Roman"/>
          <w:lang w:val="fr-FR"/>
        </w:rPr>
        <w:t>6 § 1 de la Convention sur le terrain du « délai raisonnable ».</w:t>
      </w:r>
    </w:p>
    <w:p w:rsidR="00506071" w:rsidRPr="00874348" w:rsidRDefault="00506071" w:rsidP="00874348">
      <w:pPr>
        <w:pStyle w:val="ECHRHeading3"/>
        <w:rPr>
          <w:rFonts w:eastAsia="Times New Roman"/>
          <w:lang w:val="fr-FR"/>
        </w:rPr>
      </w:pPr>
      <w:r w:rsidRPr="00874348">
        <w:rPr>
          <w:rFonts w:eastAsia="Times New Roman"/>
          <w:lang w:val="fr-FR"/>
        </w:rPr>
        <w:t>4.  Article 8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98</w:t>
      </w:r>
      <w:r w:rsidRPr="00874348">
        <w:rPr>
          <w:rFonts w:eastAsia="Times New Roman"/>
          <w:lang w:val="fr-FR"/>
        </w:rPr>
        <w:fldChar w:fldCharType="end"/>
      </w:r>
      <w:r w:rsidRPr="00874348">
        <w:rPr>
          <w:rFonts w:eastAsia="Times New Roman"/>
          <w:lang w:val="fr-FR"/>
        </w:rPr>
        <w:t>.  Invoquant l</w:t>
      </w:r>
      <w:r w:rsidR="00874348" w:rsidRPr="00874348">
        <w:rPr>
          <w:rFonts w:eastAsia="Times New Roman"/>
          <w:lang w:val="fr-FR"/>
        </w:rPr>
        <w:t>’</w:t>
      </w:r>
      <w:r w:rsidRPr="00874348">
        <w:rPr>
          <w:rFonts w:eastAsia="Times New Roman"/>
          <w:lang w:val="fr-FR"/>
        </w:rPr>
        <w:t>article 8 de la Convention, sous l</w:t>
      </w:r>
      <w:r w:rsidR="00874348" w:rsidRPr="00874348">
        <w:rPr>
          <w:rFonts w:eastAsia="Times New Roman"/>
          <w:lang w:val="fr-FR"/>
        </w:rPr>
        <w:t>’</w:t>
      </w:r>
      <w:r w:rsidRPr="00874348">
        <w:rPr>
          <w:rFonts w:eastAsia="Times New Roman"/>
          <w:lang w:val="fr-FR"/>
        </w:rPr>
        <w:t>angle du droit au respect de la vie privée, les requérants des requêtes n</w:t>
      </w:r>
      <w:r w:rsidRPr="00874348">
        <w:rPr>
          <w:rFonts w:eastAsia="Times New Roman"/>
          <w:vertAlign w:val="superscript"/>
          <w:lang w:val="fr-FR"/>
        </w:rPr>
        <w:t>os</w:t>
      </w:r>
      <w:r w:rsidRPr="00874348">
        <w:rPr>
          <w:rFonts w:eastAsia="Times New Roman"/>
          <w:lang w:val="fr-FR"/>
        </w:rPr>
        <w:t xml:space="preserve"> 158/12 et 3892/12 se plaignent d</w:t>
      </w:r>
      <w:r w:rsidR="00874348" w:rsidRPr="00874348">
        <w:rPr>
          <w:rFonts w:eastAsia="Times New Roman"/>
          <w:lang w:val="fr-FR"/>
        </w:rPr>
        <w:t>’</w:t>
      </w:r>
      <w:r w:rsidRPr="00874348">
        <w:rPr>
          <w:rFonts w:eastAsia="Times New Roman"/>
          <w:lang w:val="fr-FR"/>
        </w:rPr>
        <w:t>une atteinte à leur intégrité physique et psychologique, en raison du retard dans la mise en œuvre des règlements à l</w:t>
      </w:r>
      <w:r w:rsidR="00874348" w:rsidRPr="00874348">
        <w:rPr>
          <w:rFonts w:eastAsia="Times New Roman"/>
          <w:lang w:val="fr-FR"/>
        </w:rPr>
        <w:t>’</w:t>
      </w:r>
      <w:r w:rsidRPr="00874348">
        <w:rPr>
          <w:rFonts w:eastAsia="Times New Roman"/>
          <w:lang w:val="fr-FR"/>
        </w:rPr>
        <w:t>amiable.</w:t>
      </w:r>
    </w:p>
    <w:p w:rsidR="00506071" w:rsidRPr="00874348" w:rsidRDefault="00506071" w:rsidP="00874348">
      <w:pPr>
        <w:pStyle w:val="ECHRHeading3"/>
        <w:rPr>
          <w:rFonts w:eastAsia="Times New Roman"/>
          <w:lang w:val="fr-FR"/>
        </w:rPr>
      </w:pPr>
      <w:r w:rsidRPr="00874348">
        <w:rPr>
          <w:rFonts w:eastAsia="Times New Roman"/>
          <w:lang w:val="fr-FR"/>
        </w:rPr>
        <w:t>5.  Article 13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99</w:t>
      </w:r>
      <w:r w:rsidRPr="00874348">
        <w:rPr>
          <w:rFonts w:eastAsia="Times New Roman"/>
          <w:lang w:val="fr-FR"/>
        </w:rPr>
        <w:fldChar w:fldCharType="end"/>
      </w:r>
      <w:r w:rsidRPr="00874348">
        <w:rPr>
          <w:rFonts w:eastAsia="Times New Roman"/>
          <w:lang w:val="fr-FR"/>
        </w:rPr>
        <w:t>.  Invoquant l</w:t>
      </w:r>
      <w:r w:rsidR="00874348" w:rsidRPr="00874348">
        <w:rPr>
          <w:rFonts w:eastAsia="Times New Roman"/>
          <w:lang w:val="fr-FR"/>
        </w:rPr>
        <w:t>’</w:t>
      </w:r>
      <w:r w:rsidRPr="00874348">
        <w:rPr>
          <w:rFonts w:eastAsia="Times New Roman"/>
          <w:lang w:val="fr-FR"/>
        </w:rPr>
        <w:t>article 13 de la Convention, les requérants des requêtes indiquées aux n</w:t>
      </w:r>
      <w:r w:rsidRPr="00874348">
        <w:rPr>
          <w:rFonts w:eastAsia="Times New Roman"/>
          <w:vertAlign w:val="superscript"/>
          <w:lang w:val="fr-FR"/>
        </w:rPr>
        <w:t>os</w:t>
      </w:r>
      <w:r w:rsidRPr="00874348">
        <w:rPr>
          <w:rFonts w:eastAsia="Times New Roman"/>
          <w:lang w:val="fr-FR"/>
        </w:rPr>
        <w:t xml:space="preserve"> 1 à 3, 6 à 15 et 17 à 19 dans la liste B en annexe se plaignent de l</w:t>
      </w:r>
      <w:r w:rsidR="00874348" w:rsidRPr="00874348">
        <w:rPr>
          <w:rFonts w:eastAsia="Times New Roman"/>
          <w:lang w:val="fr-FR"/>
        </w:rPr>
        <w:t>’</w:t>
      </w:r>
      <w:r w:rsidRPr="00874348">
        <w:rPr>
          <w:rFonts w:eastAsia="Times New Roman"/>
          <w:lang w:val="fr-FR"/>
        </w:rPr>
        <w:t>absence en droit interne d</w:t>
      </w:r>
      <w:r w:rsidR="00874348" w:rsidRPr="00874348">
        <w:rPr>
          <w:rFonts w:eastAsia="Times New Roman"/>
          <w:lang w:val="fr-FR"/>
        </w:rPr>
        <w:t>’</w:t>
      </w:r>
      <w:r w:rsidRPr="00874348">
        <w:rPr>
          <w:rFonts w:eastAsia="Times New Roman"/>
          <w:lang w:val="fr-FR"/>
        </w:rPr>
        <w:t>un recours effectif concernant les violations alléguées de la Convention et du Protocole n</w:t>
      </w:r>
      <w:r w:rsidRPr="00874348">
        <w:rPr>
          <w:rFonts w:eastAsia="Times New Roman"/>
          <w:vertAlign w:val="superscript"/>
          <w:lang w:val="fr-FR"/>
        </w:rPr>
        <w:t>o</w:t>
      </w:r>
      <w:r w:rsidRPr="00874348">
        <w:rPr>
          <w:rFonts w:eastAsia="Times New Roman"/>
          <w:lang w:val="fr-FR"/>
        </w:rPr>
        <w:t xml:space="preserve"> 1.</w:t>
      </w:r>
    </w:p>
    <w:p w:rsidR="00506071" w:rsidRPr="00874348" w:rsidRDefault="00506071" w:rsidP="00874348">
      <w:pPr>
        <w:pStyle w:val="ECHRHeading3"/>
        <w:rPr>
          <w:rFonts w:eastAsia="Times New Roman"/>
          <w:lang w:val="fr-FR"/>
        </w:rPr>
      </w:pPr>
      <w:r w:rsidRPr="00874348">
        <w:rPr>
          <w:rFonts w:eastAsia="Times New Roman"/>
          <w:lang w:val="fr-FR"/>
        </w:rPr>
        <w:t>6.  Article 14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100</w:t>
      </w:r>
      <w:r w:rsidRPr="00874348">
        <w:rPr>
          <w:rFonts w:eastAsia="Times New Roman"/>
          <w:lang w:val="fr-FR"/>
        </w:rPr>
        <w:fldChar w:fldCharType="end"/>
      </w:r>
      <w:r w:rsidRPr="00874348">
        <w:rPr>
          <w:rFonts w:eastAsia="Times New Roman"/>
          <w:lang w:val="fr-FR"/>
        </w:rPr>
        <w:t>.  Invoquant l</w:t>
      </w:r>
      <w:r w:rsidR="00874348" w:rsidRPr="00874348">
        <w:rPr>
          <w:rFonts w:eastAsia="Times New Roman"/>
          <w:lang w:val="fr-FR"/>
        </w:rPr>
        <w:t>’</w:t>
      </w:r>
      <w:r w:rsidRPr="00874348">
        <w:rPr>
          <w:rFonts w:eastAsia="Times New Roman"/>
          <w:lang w:val="fr-FR"/>
        </w:rPr>
        <w:t>article 14 de la Convention, conjointement avec les articles 6 § 1 de la Convention et 1 du Protocole n</w:t>
      </w:r>
      <w:r w:rsidRPr="00874348">
        <w:rPr>
          <w:rFonts w:eastAsia="Times New Roman"/>
          <w:vertAlign w:val="superscript"/>
          <w:lang w:val="fr-FR"/>
        </w:rPr>
        <w:t>o</w:t>
      </w:r>
      <w:r w:rsidRPr="00874348">
        <w:rPr>
          <w:rFonts w:eastAsia="Times New Roman"/>
          <w:lang w:val="fr-FR"/>
        </w:rPr>
        <w:t xml:space="preserve"> 1, les requérants se </w:t>
      </w:r>
      <w:r w:rsidRPr="00874348">
        <w:rPr>
          <w:rFonts w:eastAsia="Times New Roman"/>
          <w:lang w:val="fr-FR"/>
        </w:rPr>
        <w:lastRenderedPageBreak/>
        <w:t>plaignent du traitement discriminatoire qu</w:t>
      </w:r>
      <w:r w:rsidR="00874348" w:rsidRPr="00874348">
        <w:rPr>
          <w:rFonts w:eastAsia="Times New Roman"/>
          <w:lang w:val="fr-FR"/>
        </w:rPr>
        <w:t>’</w:t>
      </w:r>
      <w:r w:rsidRPr="00874348">
        <w:rPr>
          <w:rFonts w:eastAsia="Times New Roman"/>
          <w:lang w:val="fr-FR"/>
        </w:rPr>
        <w:t xml:space="preserve">eux-mêmes ou leur </w:t>
      </w:r>
      <w:r w:rsidRPr="00874348">
        <w:rPr>
          <w:rFonts w:eastAsia="Times New Roman"/>
          <w:i/>
          <w:lang w:val="fr-FR"/>
        </w:rPr>
        <w:t>de cujus</w:t>
      </w:r>
      <w:r w:rsidRPr="00874348">
        <w:rPr>
          <w:rFonts w:eastAsia="Times New Roman"/>
          <w:lang w:val="fr-FR"/>
        </w:rPr>
        <w:t xml:space="preserve"> ont subi par rapport à différentes catégories de personnes :</w:t>
      </w:r>
    </w:p>
    <w:p w:rsidR="00506071" w:rsidRPr="00874348" w:rsidRDefault="006565C8" w:rsidP="00874348">
      <w:pPr>
        <w:pStyle w:val="ECHRPara"/>
        <w:rPr>
          <w:rFonts w:eastAsia="Times New Roman"/>
          <w:lang w:val="fr-FR"/>
        </w:rPr>
      </w:pPr>
      <w:r w:rsidRPr="00874348">
        <w:rPr>
          <w:rFonts w:eastAsia="Times New Roman"/>
          <w:lang w:val="fr-FR"/>
        </w:rPr>
        <w:t>-  </w:t>
      </w:r>
      <w:r w:rsidR="00506071" w:rsidRPr="00874348">
        <w:rPr>
          <w:rFonts w:eastAsia="Times New Roman"/>
          <w:lang w:val="fr-FR"/>
        </w:rPr>
        <w:t>ceux qui ont pu accéder aux règlements amiables prévu par la loi n</w:t>
      </w:r>
      <w:r w:rsidR="00506071" w:rsidRPr="00874348">
        <w:rPr>
          <w:rFonts w:eastAsia="Times New Roman"/>
          <w:vertAlign w:val="superscript"/>
          <w:lang w:val="fr-FR"/>
        </w:rPr>
        <w:t>o</w:t>
      </w:r>
      <w:r w:rsidR="00506071" w:rsidRPr="00874348">
        <w:rPr>
          <w:rFonts w:eastAsia="Times New Roman"/>
          <w:lang w:val="fr-FR"/>
        </w:rPr>
        <w:t> 141/03 et 222/07 (selon les requérants des requêtes n</w:t>
      </w:r>
      <w:r w:rsidR="00506071" w:rsidRPr="00874348">
        <w:rPr>
          <w:rFonts w:eastAsia="Times New Roman"/>
          <w:vertAlign w:val="superscript"/>
          <w:lang w:val="fr-FR"/>
        </w:rPr>
        <w:t xml:space="preserve">os </w:t>
      </w:r>
      <w:r w:rsidR="00506071" w:rsidRPr="00874348">
        <w:rPr>
          <w:rFonts w:eastAsia="Times New Roman"/>
          <w:lang w:val="fr-FR"/>
        </w:rPr>
        <w:t>1 à 3, 5</w:t>
      </w:r>
      <w:r w:rsidR="00506071" w:rsidRPr="00874348">
        <w:rPr>
          <w:rFonts w:eastAsia="Times New Roman" w:cs="Times New Roman"/>
          <w:lang w:val="fr-FR"/>
        </w:rPr>
        <w:t xml:space="preserve"> à 15 et 17 dans la liste B en annexe) ;</w:t>
      </w:r>
    </w:p>
    <w:p w:rsidR="00506071" w:rsidRPr="00874348" w:rsidRDefault="006565C8" w:rsidP="00874348">
      <w:pPr>
        <w:pStyle w:val="ECHRPara"/>
        <w:rPr>
          <w:rFonts w:eastAsia="Times New Roman"/>
          <w:lang w:val="fr-FR"/>
        </w:rPr>
      </w:pPr>
      <w:r w:rsidRPr="00874348">
        <w:rPr>
          <w:rFonts w:eastAsia="Times New Roman"/>
          <w:lang w:val="fr-FR"/>
        </w:rPr>
        <w:t>-  </w:t>
      </w:r>
      <w:r w:rsidR="00506071" w:rsidRPr="00874348">
        <w:rPr>
          <w:rFonts w:eastAsia="Times New Roman"/>
          <w:lang w:val="fr-FR"/>
        </w:rPr>
        <w:t>ceux qui ont pu obtenir un dédommagement dans le cadre d</w:t>
      </w:r>
      <w:r w:rsidR="00874348" w:rsidRPr="00874348">
        <w:rPr>
          <w:rFonts w:eastAsia="Times New Roman"/>
          <w:lang w:val="fr-FR"/>
        </w:rPr>
        <w:t>’</w:t>
      </w:r>
      <w:r w:rsidR="00506071" w:rsidRPr="00874348">
        <w:rPr>
          <w:rFonts w:eastAsia="Times New Roman"/>
          <w:lang w:val="fr-FR"/>
        </w:rPr>
        <w:t>une procédure civile (selon les requérants des requêtes indiquées aux n</w:t>
      </w:r>
      <w:r w:rsidR="00506071" w:rsidRPr="00874348">
        <w:rPr>
          <w:rFonts w:eastAsia="Times New Roman"/>
          <w:vertAlign w:val="superscript"/>
          <w:lang w:val="fr-FR"/>
        </w:rPr>
        <w:t>os </w:t>
      </w:r>
      <w:r w:rsidR="00506071" w:rsidRPr="00874348">
        <w:rPr>
          <w:rFonts w:eastAsia="Times New Roman"/>
          <w:lang w:val="fr-FR"/>
        </w:rPr>
        <w:t>3</w:t>
      </w:r>
      <w:r w:rsidR="00313171" w:rsidRPr="00874348">
        <w:rPr>
          <w:rFonts w:eastAsia="Times New Roman" w:cs="Times New Roman"/>
          <w:lang w:val="fr-FR"/>
        </w:rPr>
        <w:t xml:space="preserve"> et 6 à </w:t>
      </w:r>
      <w:r w:rsidR="00506071" w:rsidRPr="00874348">
        <w:rPr>
          <w:rFonts w:eastAsia="Times New Roman" w:cs="Times New Roman"/>
          <w:lang w:val="fr-FR"/>
        </w:rPr>
        <w:t>15 dans la liste B en annexe) ;</w:t>
      </w:r>
    </w:p>
    <w:p w:rsidR="00506071" w:rsidRPr="00874348" w:rsidRDefault="006565C8" w:rsidP="00874348">
      <w:pPr>
        <w:pStyle w:val="ECHRPara"/>
        <w:rPr>
          <w:rFonts w:eastAsia="Times New Roman" w:cs="Times New Roman"/>
          <w:lang w:val="fr-FR"/>
        </w:rPr>
      </w:pPr>
      <w:r w:rsidRPr="00874348">
        <w:rPr>
          <w:rFonts w:eastAsia="Times New Roman"/>
          <w:lang w:val="fr-FR"/>
        </w:rPr>
        <w:t>-  </w:t>
      </w:r>
      <w:r w:rsidR="00506071" w:rsidRPr="00874348">
        <w:rPr>
          <w:rFonts w:eastAsia="Times New Roman"/>
          <w:lang w:val="fr-FR"/>
        </w:rPr>
        <w:t>ceux qui n</w:t>
      </w:r>
      <w:r w:rsidR="00874348" w:rsidRPr="00874348">
        <w:rPr>
          <w:rFonts w:eastAsia="Times New Roman"/>
          <w:lang w:val="fr-FR"/>
        </w:rPr>
        <w:t>’</w:t>
      </w:r>
      <w:r w:rsidR="00506071" w:rsidRPr="00874348">
        <w:rPr>
          <w:rFonts w:eastAsia="Times New Roman"/>
          <w:lang w:val="fr-FR"/>
        </w:rPr>
        <w:t>ont pas été exclus des règlements amiables au sens de l</w:t>
      </w:r>
      <w:r w:rsidR="00874348" w:rsidRPr="00874348">
        <w:rPr>
          <w:rFonts w:eastAsia="Times New Roman"/>
          <w:lang w:val="fr-FR"/>
        </w:rPr>
        <w:t>’</w:t>
      </w:r>
      <w:r w:rsidR="00506071" w:rsidRPr="00874348">
        <w:rPr>
          <w:rFonts w:eastAsia="Times New Roman"/>
          <w:lang w:val="fr-FR"/>
        </w:rPr>
        <w:t xml:space="preserve">article 5 </w:t>
      </w:r>
      <w:r w:rsidR="00506071" w:rsidRPr="00874348">
        <w:rPr>
          <w:rFonts w:eastAsia="Times New Roman" w:cs="Times New Roman"/>
          <w:lang w:val="fr-FR"/>
        </w:rPr>
        <w:t>décret n</w:t>
      </w:r>
      <w:r w:rsidR="00506071" w:rsidRPr="00874348">
        <w:rPr>
          <w:rFonts w:eastAsia="Times New Roman" w:cs="Times New Roman"/>
          <w:vertAlign w:val="superscript"/>
          <w:lang w:val="fr-FR"/>
        </w:rPr>
        <w:t>o</w:t>
      </w:r>
      <w:r w:rsidR="00506071" w:rsidRPr="00874348">
        <w:rPr>
          <w:rFonts w:eastAsia="Times New Roman" w:cs="Times New Roman"/>
          <w:lang w:val="fr-FR"/>
        </w:rPr>
        <w:t xml:space="preserve"> </w:t>
      </w:r>
      <w:r w:rsidR="00506071" w:rsidRPr="00874348">
        <w:rPr>
          <w:rFonts w:eastAsia="Times New Roman"/>
          <w:lang w:val="fr-FR"/>
        </w:rPr>
        <w:t>162/12 (selon les requérants des requêtes indiquées aux n</w:t>
      </w:r>
      <w:r w:rsidR="00506071" w:rsidRPr="00874348">
        <w:rPr>
          <w:rFonts w:eastAsia="Times New Roman"/>
          <w:vertAlign w:val="superscript"/>
          <w:lang w:val="fr-FR"/>
        </w:rPr>
        <w:t>os</w:t>
      </w:r>
      <w:r w:rsidR="00506071" w:rsidRPr="00874348">
        <w:rPr>
          <w:rFonts w:eastAsia="Times New Roman"/>
          <w:lang w:val="fr-FR"/>
        </w:rPr>
        <w:t xml:space="preserve"> 1 à </w:t>
      </w:r>
      <w:r w:rsidR="00506071" w:rsidRPr="00874348">
        <w:rPr>
          <w:rFonts w:eastAsia="Times New Roman" w:cs="Times New Roman"/>
          <w:lang w:val="fr-FR"/>
        </w:rPr>
        <w:t>15 dans la liste B en annexe) ;</w:t>
      </w:r>
    </w:p>
    <w:p w:rsidR="00506071" w:rsidRPr="00874348" w:rsidRDefault="006565C8" w:rsidP="00874348">
      <w:pPr>
        <w:pStyle w:val="ECHRPara"/>
        <w:rPr>
          <w:rFonts w:eastAsia="Times New Roman" w:cs="Times New Roman"/>
          <w:lang w:val="fr-FR"/>
        </w:rPr>
      </w:pPr>
      <w:r w:rsidRPr="00874348">
        <w:rPr>
          <w:rFonts w:eastAsia="Times New Roman"/>
          <w:lang w:val="fr-FR"/>
        </w:rPr>
        <w:t>-  </w:t>
      </w:r>
      <w:r w:rsidR="00506071" w:rsidRPr="00874348">
        <w:rPr>
          <w:rFonts w:eastAsia="Times New Roman"/>
          <w:lang w:val="fr-FR"/>
        </w:rPr>
        <w:t>ceux qui ont subi une transfusion avant le 24 juillet 1978 (paragraphe 2 de l</w:t>
      </w:r>
      <w:r w:rsidR="00874348" w:rsidRPr="00874348">
        <w:rPr>
          <w:rFonts w:eastAsia="Times New Roman"/>
          <w:lang w:val="fr-FR"/>
        </w:rPr>
        <w:t>’</w:t>
      </w:r>
      <w:r w:rsidR="00506071" w:rsidRPr="00874348">
        <w:rPr>
          <w:rFonts w:eastAsia="Times New Roman"/>
          <w:lang w:val="fr-FR"/>
        </w:rPr>
        <w:t>article 5 du même décret) (selon les requérants des requêtes indiquées aux n</w:t>
      </w:r>
      <w:r w:rsidR="00506071" w:rsidRPr="00874348">
        <w:rPr>
          <w:rFonts w:eastAsia="Times New Roman"/>
          <w:vertAlign w:val="superscript"/>
          <w:lang w:val="fr-FR"/>
        </w:rPr>
        <w:t>os </w:t>
      </w:r>
      <w:r w:rsidR="00506071" w:rsidRPr="00874348">
        <w:rPr>
          <w:rFonts w:eastAsia="Times New Roman"/>
          <w:lang w:val="fr-FR"/>
        </w:rPr>
        <w:t xml:space="preserve">5 </w:t>
      </w:r>
      <w:r w:rsidR="00506071" w:rsidRPr="00874348">
        <w:rPr>
          <w:rFonts w:eastAsia="Times New Roman" w:cs="Times New Roman"/>
          <w:lang w:val="fr-FR"/>
        </w:rPr>
        <w:t>à 15 dans la liste B en annexe).</w:t>
      </w:r>
    </w:p>
    <w:p w:rsidR="00506071" w:rsidRPr="00874348" w:rsidRDefault="00506071" w:rsidP="00874348">
      <w:pPr>
        <w:pStyle w:val="ECHRHeading3"/>
        <w:rPr>
          <w:rFonts w:eastAsia="Times New Roman"/>
          <w:lang w:val="fr-FR"/>
        </w:rPr>
      </w:pPr>
      <w:r w:rsidRPr="00874348">
        <w:rPr>
          <w:rFonts w:eastAsia="Times New Roman"/>
          <w:lang w:val="fr-FR"/>
        </w:rPr>
        <w:t>7.  Article 1 du Protocole n</w:t>
      </w:r>
      <w:r w:rsidRPr="00874348">
        <w:rPr>
          <w:rFonts w:eastAsia="Times New Roman"/>
          <w:vertAlign w:val="superscript"/>
          <w:lang w:val="fr-FR"/>
        </w:rPr>
        <w:t>o</w:t>
      </w:r>
      <w:r w:rsidRPr="00874348">
        <w:rPr>
          <w:rFonts w:eastAsia="Times New Roman"/>
          <w:lang w:val="fr-FR"/>
        </w:rPr>
        <w:t xml:space="preserve"> 1</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101</w:t>
      </w:r>
      <w:r w:rsidRPr="00874348">
        <w:rPr>
          <w:rFonts w:eastAsia="Times New Roman"/>
          <w:lang w:val="fr-FR"/>
        </w:rPr>
        <w:fldChar w:fldCharType="end"/>
      </w:r>
      <w:r w:rsidRPr="00874348">
        <w:rPr>
          <w:rFonts w:eastAsia="Times New Roman"/>
          <w:lang w:val="fr-FR"/>
        </w:rPr>
        <w:t>.  Invoquant l</w:t>
      </w:r>
      <w:r w:rsidR="00874348" w:rsidRPr="00874348">
        <w:rPr>
          <w:rFonts w:eastAsia="Times New Roman"/>
          <w:lang w:val="fr-FR"/>
        </w:rPr>
        <w:t>’</w:t>
      </w:r>
      <w:r w:rsidRPr="00874348">
        <w:rPr>
          <w:rFonts w:eastAsia="Times New Roman"/>
          <w:lang w:val="fr-FR"/>
        </w:rPr>
        <w:t>Article 1 du Protocole n</w:t>
      </w:r>
      <w:r w:rsidRPr="00874348">
        <w:rPr>
          <w:rFonts w:eastAsia="Times New Roman"/>
          <w:vertAlign w:val="superscript"/>
          <w:lang w:val="fr-FR"/>
        </w:rPr>
        <w:t>o</w:t>
      </w:r>
      <w:r w:rsidRPr="00874348">
        <w:rPr>
          <w:rFonts w:eastAsia="Times New Roman"/>
          <w:lang w:val="fr-FR"/>
        </w:rPr>
        <w:t xml:space="preserve"> 1 à la Convention, les requérants des requêtes </w:t>
      </w:r>
      <w:r w:rsidRPr="00874348">
        <w:rPr>
          <w:rFonts w:eastAsia="Times New Roman" w:cs="Calibri"/>
          <w:lang w:val="fr-FR"/>
        </w:rPr>
        <w:t xml:space="preserve">indiquées aux </w:t>
      </w:r>
      <w:r w:rsidRPr="00874348">
        <w:rPr>
          <w:rFonts w:eastAsia="Times New Roman"/>
          <w:lang w:val="fr-FR"/>
        </w:rPr>
        <w:t>n</w:t>
      </w:r>
      <w:r w:rsidRPr="00874348">
        <w:rPr>
          <w:rFonts w:eastAsia="Times New Roman"/>
          <w:vertAlign w:val="superscript"/>
          <w:lang w:val="fr-FR"/>
        </w:rPr>
        <w:t>os</w:t>
      </w:r>
      <w:r w:rsidRPr="00874348">
        <w:rPr>
          <w:rFonts w:eastAsia="Times New Roman"/>
          <w:lang w:val="fr-FR"/>
        </w:rPr>
        <w:t xml:space="preserve"> 1 à 3, 6 à 14 et 17 à 19 dans la liste B en annexe se plaignent d</w:t>
      </w:r>
      <w:r w:rsidR="00874348" w:rsidRPr="00874348">
        <w:rPr>
          <w:rFonts w:eastAsia="Times New Roman"/>
          <w:lang w:val="fr-FR"/>
        </w:rPr>
        <w:t>’</w:t>
      </w:r>
      <w:r w:rsidRPr="00874348">
        <w:rPr>
          <w:rFonts w:eastAsia="Times New Roman"/>
          <w:lang w:val="fr-FR"/>
        </w:rPr>
        <w:t>une atteinte de leur droit au respect des biens en raison de ce que l</w:t>
      </w:r>
      <w:r w:rsidR="00874348" w:rsidRPr="00874348">
        <w:rPr>
          <w:rFonts w:eastAsia="Times New Roman"/>
          <w:lang w:val="fr-FR"/>
        </w:rPr>
        <w:t>’</w:t>
      </w:r>
      <w:r w:rsidRPr="00874348">
        <w:rPr>
          <w:rFonts w:eastAsia="Times New Roman"/>
          <w:lang w:val="fr-FR"/>
        </w:rPr>
        <w:t>application des nouveaux critères prévus par le décret n</w:t>
      </w:r>
      <w:r w:rsidRPr="00874348">
        <w:rPr>
          <w:rFonts w:eastAsia="Times New Roman"/>
          <w:vertAlign w:val="superscript"/>
          <w:lang w:val="fr-FR"/>
        </w:rPr>
        <w:t>o</w:t>
      </w:r>
      <w:r w:rsidR="00313171" w:rsidRPr="00874348">
        <w:rPr>
          <w:rFonts w:eastAsia="Times New Roman"/>
          <w:lang w:val="fr-FR"/>
        </w:rPr>
        <w:t> </w:t>
      </w:r>
      <w:r w:rsidRPr="00874348">
        <w:rPr>
          <w:rFonts w:eastAsia="Times New Roman"/>
          <w:lang w:val="fr-FR"/>
        </w:rPr>
        <w:t>162/12 empêche la clôture de leurs procédures.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102</w:t>
      </w:r>
      <w:r w:rsidRPr="00874348">
        <w:rPr>
          <w:rFonts w:eastAsia="Times New Roman"/>
          <w:lang w:val="fr-FR"/>
        </w:rPr>
        <w:fldChar w:fldCharType="end"/>
      </w:r>
      <w:r w:rsidRPr="00874348">
        <w:rPr>
          <w:rFonts w:eastAsia="Times New Roman"/>
          <w:lang w:val="fr-FR"/>
        </w:rPr>
        <w:t>.  Les dispositions mentionnées, exception faite pour celles dont le texte a été rappelé au paragraphe 48 ci-dessus, se lisent ainsi dans leurs parties pertinentes :</w:t>
      </w:r>
    </w:p>
    <w:p w:rsidR="00506071" w:rsidRPr="00874348" w:rsidRDefault="00506071" w:rsidP="00874348">
      <w:pPr>
        <w:pStyle w:val="ECHRTitleCentre3"/>
        <w:rPr>
          <w:rFonts w:eastAsia="Times New Roman"/>
          <w:lang w:val="fr-FR"/>
        </w:rPr>
      </w:pPr>
      <w:r w:rsidRPr="00874348">
        <w:rPr>
          <w:rFonts w:eastAsia="Times New Roman"/>
          <w:lang w:val="fr-FR"/>
        </w:rPr>
        <w:t>Article 8 de la Convention</w:t>
      </w:r>
    </w:p>
    <w:p w:rsidR="00506071" w:rsidRPr="00874348" w:rsidRDefault="00506071" w:rsidP="00874348">
      <w:pPr>
        <w:pStyle w:val="ECHRParaQuote"/>
        <w:rPr>
          <w:rFonts w:eastAsia="Times New Roman"/>
          <w:lang w:val="fr-FR"/>
        </w:rPr>
      </w:pPr>
      <w:r w:rsidRPr="00874348">
        <w:rPr>
          <w:rFonts w:eastAsia="Times New Roman"/>
          <w:lang w:val="fr-FR"/>
        </w:rPr>
        <w:t>« 1.  Toute personne a droit au respect de sa vie privée (...).</w:t>
      </w:r>
    </w:p>
    <w:p w:rsidR="00506071" w:rsidRPr="00874348" w:rsidRDefault="00506071" w:rsidP="00874348">
      <w:pPr>
        <w:pStyle w:val="ECHRParaQuote"/>
        <w:rPr>
          <w:rFonts w:eastAsia="Times New Roman"/>
          <w:lang w:val="fr-FR"/>
        </w:rPr>
      </w:pPr>
      <w:r w:rsidRPr="00874348">
        <w:rPr>
          <w:rFonts w:eastAsia="Times New Roman"/>
          <w:lang w:val="fr-FR"/>
        </w:rPr>
        <w:t>2.  Il ne peut y avoir ingérence d</w:t>
      </w:r>
      <w:r w:rsidR="00874348" w:rsidRPr="00874348">
        <w:rPr>
          <w:rFonts w:eastAsia="Times New Roman"/>
          <w:lang w:val="fr-FR"/>
        </w:rPr>
        <w:t>’</w:t>
      </w:r>
      <w:r w:rsidRPr="00874348">
        <w:rPr>
          <w:rFonts w:eastAsia="Times New Roman"/>
          <w:lang w:val="fr-FR"/>
        </w:rPr>
        <w:t>une autorité publique dans l</w:t>
      </w:r>
      <w:r w:rsidR="00874348" w:rsidRPr="00874348">
        <w:rPr>
          <w:rFonts w:eastAsia="Times New Roman"/>
          <w:lang w:val="fr-FR"/>
        </w:rPr>
        <w:t>’</w:t>
      </w:r>
      <w:r w:rsidRPr="00874348">
        <w:rPr>
          <w:rFonts w:eastAsia="Times New Roman"/>
          <w:lang w:val="fr-FR"/>
        </w:rPr>
        <w:t>exercice de ce droit que pour autant que cette ingérence est prévue par la loi et qu</w:t>
      </w:r>
      <w:r w:rsidR="00874348" w:rsidRPr="00874348">
        <w:rPr>
          <w:rFonts w:eastAsia="Times New Roman"/>
          <w:lang w:val="fr-FR"/>
        </w:rPr>
        <w:t>’</w:t>
      </w:r>
      <w:r w:rsidRPr="00874348">
        <w:rPr>
          <w:rFonts w:eastAsia="Times New Roman"/>
          <w:lang w:val="fr-FR"/>
        </w:rPr>
        <w:t>elle constitue une mesure qui, dans une société démocratique, est nécessaire à la sécurité nationale, à la sûreté publique, au bien</w:t>
      </w:r>
      <w:r w:rsidRPr="00874348">
        <w:rPr>
          <w:rFonts w:eastAsia="Times New Roman"/>
          <w:lang w:val="fr-FR"/>
        </w:rPr>
        <w:noBreakHyphen/>
        <w:t>être économique du pays, à la défense de l</w:t>
      </w:r>
      <w:r w:rsidR="00874348" w:rsidRPr="00874348">
        <w:rPr>
          <w:rFonts w:eastAsia="Times New Roman"/>
          <w:lang w:val="fr-FR"/>
        </w:rPr>
        <w:t>’</w:t>
      </w:r>
      <w:r w:rsidRPr="00874348">
        <w:rPr>
          <w:rFonts w:eastAsia="Times New Roman"/>
          <w:lang w:val="fr-FR"/>
        </w:rPr>
        <w:t>ordre et à la prévention des infractions pénales, à la protection de la santé ou de la morale, ou à la protection des droits et libertés d</w:t>
      </w:r>
      <w:r w:rsidR="00874348" w:rsidRPr="00874348">
        <w:rPr>
          <w:rFonts w:eastAsia="Times New Roman"/>
          <w:lang w:val="fr-FR"/>
        </w:rPr>
        <w:t>’</w:t>
      </w:r>
      <w:r w:rsidRPr="00874348">
        <w:rPr>
          <w:rFonts w:eastAsia="Times New Roman"/>
          <w:lang w:val="fr-FR"/>
        </w:rPr>
        <w:t>autrui. »</w:t>
      </w:r>
    </w:p>
    <w:p w:rsidR="00506071" w:rsidRPr="00874348" w:rsidRDefault="00506071" w:rsidP="00874348">
      <w:pPr>
        <w:pStyle w:val="ECHRTitleCentre3"/>
        <w:rPr>
          <w:rFonts w:eastAsia="Times New Roman"/>
          <w:lang w:val="fr-FR"/>
        </w:rPr>
      </w:pPr>
      <w:r w:rsidRPr="00874348">
        <w:rPr>
          <w:rFonts w:eastAsia="Times New Roman"/>
          <w:lang w:val="fr-FR"/>
        </w:rPr>
        <w:t>Article 14 de la Convention</w:t>
      </w:r>
    </w:p>
    <w:p w:rsidR="00506071" w:rsidRPr="00874348" w:rsidRDefault="00506071" w:rsidP="00874348">
      <w:pPr>
        <w:pStyle w:val="ECHRParaQuote"/>
        <w:rPr>
          <w:rFonts w:eastAsia="Times New Roman"/>
          <w:lang w:val="fr-FR"/>
        </w:rPr>
      </w:pPr>
      <w:r w:rsidRPr="00874348">
        <w:rPr>
          <w:rFonts w:eastAsia="Times New Roman"/>
          <w:lang w:val="fr-FR"/>
        </w:rPr>
        <w:t>« La jouissance des droits et libertés reconnus dans la (...) Convention doit être assurée, sans distinction aucune, fondée notamment sur le sexe, la race, la couleur, la langue, la religion, les opinions politiques ou toutes autres opinions, l</w:t>
      </w:r>
      <w:r w:rsidR="00874348" w:rsidRPr="00874348">
        <w:rPr>
          <w:rFonts w:eastAsia="Times New Roman"/>
          <w:lang w:val="fr-FR"/>
        </w:rPr>
        <w:t>’</w:t>
      </w:r>
      <w:r w:rsidRPr="00874348">
        <w:rPr>
          <w:rFonts w:eastAsia="Times New Roman"/>
          <w:lang w:val="fr-FR"/>
        </w:rPr>
        <w:t>origine nationale ou sociale, l</w:t>
      </w:r>
      <w:r w:rsidR="00874348" w:rsidRPr="00874348">
        <w:rPr>
          <w:rFonts w:eastAsia="Times New Roman"/>
          <w:lang w:val="fr-FR"/>
        </w:rPr>
        <w:t>’</w:t>
      </w:r>
      <w:r w:rsidRPr="00874348">
        <w:rPr>
          <w:rFonts w:eastAsia="Times New Roman"/>
          <w:lang w:val="fr-FR"/>
        </w:rPr>
        <w:t>appartenance à une minorité nationale, la fortune, la naissance ou toute autre situation. »</w:t>
      </w:r>
    </w:p>
    <w:p w:rsidR="00506071" w:rsidRPr="00874348" w:rsidRDefault="00506071" w:rsidP="00874348">
      <w:pPr>
        <w:pStyle w:val="ECHRHeading2"/>
        <w:rPr>
          <w:rFonts w:eastAsia="Times New Roman"/>
          <w:lang w:val="fr-FR"/>
        </w:rPr>
      </w:pPr>
      <w:r w:rsidRPr="00874348">
        <w:rPr>
          <w:rFonts w:eastAsia="Times New Roman"/>
          <w:lang w:val="fr-FR"/>
        </w:rPr>
        <w:lastRenderedPageBreak/>
        <w:t>B.  Arguments des parties</w:t>
      </w:r>
    </w:p>
    <w:p w:rsidR="00506071" w:rsidRPr="00874348" w:rsidRDefault="006565C8" w:rsidP="00874348">
      <w:pPr>
        <w:pStyle w:val="ECHRHeading3"/>
        <w:rPr>
          <w:rFonts w:eastAsia="Times New Roman"/>
          <w:lang w:val="fr-FR"/>
        </w:rPr>
      </w:pPr>
      <w:r w:rsidRPr="00874348">
        <w:rPr>
          <w:rFonts w:eastAsia="Times New Roman"/>
          <w:lang w:val="fr-FR"/>
        </w:rPr>
        <w:t>1.  </w:t>
      </w:r>
      <w:r w:rsidR="00506071" w:rsidRPr="00874348">
        <w:rPr>
          <w:rFonts w:eastAsia="Times New Roman"/>
          <w:lang w:val="fr-FR"/>
        </w:rPr>
        <w:t>La position du Gouvernement</w:t>
      </w:r>
    </w:p>
    <w:p w:rsidR="00506071" w:rsidRPr="00874348" w:rsidRDefault="00506071" w:rsidP="00874348">
      <w:pPr>
        <w:pStyle w:val="ECHRHeading4"/>
        <w:rPr>
          <w:rFonts w:eastAsia="Times New Roman"/>
          <w:lang w:val="fr-FR"/>
        </w:rPr>
      </w:pPr>
      <w:r w:rsidRPr="00874348">
        <w:rPr>
          <w:rFonts w:eastAsia="Times New Roman"/>
          <w:lang w:val="fr-FR"/>
        </w:rPr>
        <w:t>a)</w:t>
      </w:r>
      <w:r w:rsidR="006565C8" w:rsidRPr="00874348">
        <w:rPr>
          <w:rFonts w:eastAsia="Times New Roman"/>
          <w:lang w:val="fr-FR"/>
        </w:rPr>
        <w:t>  </w:t>
      </w:r>
      <w:r w:rsidRPr="00874348">
        <w:rPr>
          <w:rFonts w:eastAsia="Times New Roman"/>
          <w:lang w:val="fr-FR"/>
        </w:rPr>
        <w:t xml:space="preserve">Concernant les requêtes </w:t>
      </w:r>
      <w:r w:rsidRPr="00874348">
        <w:rPr>
          <w:rFonts w:eastAsia="Times New Roman" w:cs="Calibri"/>
          <w:lang w:val="fr-FR"/>
        </w:rPr>
        <w:t xml:space="preserve">indiquées aux </w:t>
      </w:r>
      <w:r w:rsidRPr="00874348">
        <w:rPr>
          <w:rFonts w:eastAsia="Times New Roman"/>
          <w:lang w:val="fr-FR"/>
        </w:rPr>
        <w:t>n</w:t>
      </w:r>
      <w:r w:rsidRPr="00874348">
        <w:rPr>
          <w:rFonts w:eastAsia="Times New Roman"/>
          <w:vertAlign w:val="superscript"/>
          <w:lang w:val="fr-FR"/>
        </w:rPr>
        <w:t>os</w:t>
      </w:r>
      <w:r w:rsidRPr="00874348">
        <w:rPr>
          <w:rFonts w:eastAsia="Times New Roman"/>
          <w:lang w:val="fr-FR"/>
        </w:rPr>
        <w:t xml:space="preserve"> 1 à 15 dans la liste B en annexe</w:t>
      </w:r>
    </w:p>
    <w:p w:rsidR="00506071" w:rsidRPr="00874348" w:rsidRDefault="00506071" w:rsidP="00874348">
      <w:pPr>
        <w:pStyle w:val="ECHRHeading5"/>
        <w:rPr>
          <w:rFonts w:eastAsia="Times New Roman"/>
          <w:lang w:val="fr-FR"/>
        </w:rPr>
      </w:pPr>
      <w:r w:rsidRPr="00874348">
        <w:rPr>
          <w:rFonts w:eastAsia="Times New Roman"/>
          <w:lang w:val="fr-FR"/>
        </w:rPr>
        <w:t>i.</w:t>
      </w:r>
      <w:r w:rsidR="006565C8" w:rsidRPr="00874348">
        <w:rPr>
          <w:rFonts w:eastAsia="Times New Roman"/>
          <w:lang w:val="fr-FR"/>
        </w:rPr>
        <w:t>  </w:t>
      </w:r>
      <w:r w:rsidRPr="00874348">
        <w:rPr>
          <w:rFonts w:eastAsia="Times New Roman"/>
          <w:lang w:val="fr-FR"/>
        </w:rPr>
        <w:t>Considérations préliminaires concernant la présentation des observations du Gouvernement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103</w:t>
      </w:r>
      <w:r w:rsidRPr="00874348">
        <w:rPr>
          <w:rFonts w:eastAsia="Times New Roman"/>
          <w:lang w:val="fr-FR"/>
        </w:rPr>
        <w:fldChar w:fldCharType="end"/>
      </w:r>
      <w:r w:rsidRPr="00874348">
        <w:rPr>
          <w:rFonts w:eastAsia="Times New Roman"/>
          <w:lang w:val="fr-FR"/>
        </w:rPr>
        <w:t>.  La Cour relève d</w:t>
      </w:r>
      <w:r w:rsidR="00874348" w:rsidRPr="00874348">
        <w:rPr>
          <w:rFonts w:eastAsia="Times New Roman"/>
          <w:lang w:val="fr-FR"/>
        </w:rPr>
        <w:t>’</w:t>
      </w:r>
      <w:r w:rsidRPr="00874348">
        <w:rPr>
          <w:rFonts w:eastAsia="Times New Roman"/>
          <w:lang w:val="fr-FR"/>
        </w:rPr>
        <w:t>abord que le délai fixé au Gouvernement pour la présentation de ses observations sur la recevabilité et le fond de ces affaires a expiré le 2 mai 2014, sans que ce dernier ait demandé une prorogation du délai imparti. Passé ce délai, le greffe de la Cour a donc sollicité les observations sur la recevabilité et le fond de l</w:t>
      </w:r>
      <w:r w:rsidR="00874348" w:rsidRPr="00874348">
        <w:rPr>
          <w:rFonts w:eastAsia="Times New Roman"/>
          <w:lang w:val="fr-FR"/>
        </w:rPr>
        <w:t>’</w:t>
      </w:r>
      <w:r w:rsidRPr="00874348">
        <w:rPr>
          <w:rFonts w:eastAsia="Times New Roman"/>
          <w:lang w:val="fr-FR"/>
        </w:rPr>
        <w:t>affaire des parties requérantes.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104</w:t>
      </w:r>
      <w:r w:rsidRPr="00874348">
        <w:rPr>
          <w:rFonts w:eastAsia="Times New Roman"/>
          <w:lang w:val="fr-FR"/>
        </w:rPr>
        <w:fldChar w:fldCharType="end"/>
      </w:r>
      <w:r w:rsidRPr="00874348">
        <w:rPr>
          <w:rFonts w:eastAsia="Times New Roman"/>
          <w:lang w:val="fr-FR"/>
        </w:rPr>
        <w:t>.  Le 5 août 2014, le Gouvernement a informé la Cour de l</w:t>
      </w:r>
      <w:r w:rsidR="00874348" w:rsidRPr="00874348">
        <w:rPr>
          <w:rFonts w:eastAsia="Times New Roman"/>
          <w:lang w:val="fr-FR"/>
        </w:rPr>
        <w:t>’</w:t>
      </w:r>
      <w:r w:rsidRPr="00874348">
        <w:rPr>
          <w:rFonts w:eastAsia="Times New Roman"/>
          <w:lang w:val="fr-FR"/>
        </w:rPr>
        <w:t>adoption du décret-loi n</w:t>
      </w:r>
      <w:r w:rsidRPr="00874348">
        <w:rPr>
          <w:rFonts w:eastAsia="Times New Roman"/>
          <w:vertAlign w:val="superscript"/>
          <w:lang w:val="fr-FR"/>
        </w:rPr>
        <w:t>o</w:t>
      </w:r>
      <w:r w:rsidRPr="00874348">
        <w:rPr>
          <w:rFonts w:eastAsia="Times New Roman"/>
          <w:lang w:val="fr-FR"/>
        </w:rPr>
        <w:t xml:space="preserve"> 90/2014. Ainsi, la Cour a fixé un nouveau délai aux parties pour présenter leurs observations concernant la recevabilité des requêtes en question, à la lumière du nouveau remède prévu par la loi.</w:t>
      </w:r>
    </w:p>
    <w:p w:rsidR="00506071" w:rsidRPr="00874348" w:rsidRDefault="006565C8" w:rsidP="00874348">
      <w:pPr>
        <w:pStyle w:val="ECHRHeading5"/>
        <w:rPr>
          <w:rFonts w:eastAsia="Times New Roman"/>
          <w:lang w:val="fr-FR"/>
        </w:rPr>
      </w:pPr>
      <w:r w:rsidRPr="00874348">
        <w:rPr>
          <w:rFonts w:eastAsia="Times New Roman"/>
          <w:lang w:val="fr-FR"/>
        </w:rPr>
        <w:t>ii.  </w:t>
      </w:r>
      <w:r w:rsidR="00506071" w:rsidRPr="00874348">
        <w:rPr>
          <w:rFonts w:eastAsia="Times New Roman"/>
          <w:lang w:val="fr-FR"/>
        </w:rPr>
        <w:t>Les arguments du Gouvernement</w:t>
      </w:r>
    </w:p>
    <w:p w:rsidR="00506071" w:rsidRPr="00874348" w:rsidRDefault="00506071" w:rsidP="00874348">
      <w:pPr>
        <w:pStyle w:val="ECHRPara"/>
        <w:rPr>
          <w:rFonts w:eastAsia="Times New Roman"/>
          <w:lang w:val="fr-FR"/>
        </w:rPr>
      </w:pPr>
      <w:r w:rsidRPr="00874348">
        <w:rPr>
          <w:rStyle w:val="ECHRParaChar"/>
          <w:lang w:val="fr-FR"/>
        </w:rPr>
        <w:fldChar w:fldCharType="begin"/>
      </w:r>
      <w:r w:rsidRPr="00874348">
        <w:rPr>
          <w:rStyle w:val="ECHRParaChar"/>
          <w:lang w:val="fr-FR"/>
        </w:rPr>
        <w:instrText xml:space="preserve"> SEQ level0 \*arabic </w:instrText>
      </w:r>
      <w:r w:rsidRPr="00874348">
        <w:rPr>
          <w:rStyle w:val="ECHRParaChar"/>
          <w:lang w:val="fr-FR"/>
        </w:rPr>
        <w:fldChar w:fldCharType="separate"/>
      </w:r>
      <w:r w:rsidR="00874348" w:rsidRPr="00874348">
        <w:rPr>
          <w:rStyle w:val="ECHRParaChar"/>
          <w:noProof/>
          <w:lang w:val="fr-FR"/>
        </w:rPr>
        <w:t>105</w:t>
      </w:r>
      <w:r w:rsidRPr="00874348">
        <w:rPr>
          <w:rStyle w:val="ECHRParaChar"/>
          <w:lang w:val="fr-FR"/>
        </w:rPr>
        <w:fldChar w:fldCharType="end"/>
      </w:r>
      <w:r w:rsidRPr="00874348">
        <w:rPr>
          <w:rStyle w:val="ECHRParaChar"/>
          <w:lang w:val="fr-FR"/>
        </w:rPr>
        <w:t>.  Le Gouvernement a observé qu</w:t>
      </w:r>
      <w:r w:rsidR="00874348" w:rsidRPr="00874348">
        <w:rPr>
          <w:rStyle w:val="ECHRParaChar"/>
          <w:lang w:val="fr-FR"/>
        </w:rPr>
        <w:t>’</w:t>
      </w:r>
      <w:r w:rsidRPr="00874348">
        <w:rPr>
          <w:rStyle w:val="ECHRParaChar"/>
          <w:lang w:val="fr-FR"/>
        </w:rPr>
        <w:t>en adoptant l</w:t>
      </w:r>
      <w:r w:rsidR="00874348" w:rsidRPr="00874348">
        <w:rPr>
          <w:rStyle w:val="ECHRParaChar"/>
          <w:lang w:val="fr-FR"/>
        </w:rPr>
        <w:t>’</w:t>
      </w:r>
      <w:r w:rsidRPr="00874348">
        <w:rPr>
          <w:rStyle w:val="ECHRParaChar"/>
          <w:lang w:val="fr-FR"/>
        </w:rPr>
        <w:t>article 27-</w:t>
      </w:r>
      <w:r w:rsidRPr="00874348">
        <w:rPr>
          <w:rStyle w:val="ECHRParaChar"/>
          <w:i/>
          <w:lang w:val="fr-FR"/>
        </w:rPr>
        <w:t>bis</w:t>
      </w:r>
      <w:r w:rsidRPr="00874348">
        <w:rPr>
          <w:rStyle w:val="ECHRParaChar"/>
          <w:lang w:val="fr-FR"/>
        </w:rPr>
        <w:t xml:space="preserve"> du décret-loi n</w:t>
      </w:r>
      <w:r w:rsidRPr="00874348">
        <w:rPr>
          <w:rStyle w:val="ECHRParaChar"/>
          <w:vertAlign w:val="superscript"/>
          <w:lang w:val="fr-FR"/>
        </w:rPr>
        <w:t>o</w:t>
      </w:r>
      <w:r w:rsidRPr="00874348">
        <w:rPr>
          <w:rStyle w:val="ECHRParaChar"/>
          <w:lang w:val="fr-FR"/>
        </w:rPr>
        <w:t xml:space="preserve"> 90/2014, le législateur a prévu une procédure permettant de dédommager, d</w:t>
      </w:r>
      <w:r w:rsidR="00874348" w:rsidRPr="00874348">
        <w:rPr>
          <w:rStyle w:val="ECHRParaChar"/>
          <w:lang w:val="fr-FR"/>
        </w:rPr>
        <w:t>’</w:t>
      </w:r>
      <w:r w:rsidRPr="00874348">
        <w:rPr>
          <w:rStyle w:val="ECHRParaChar"/>
          <w:lang w:val="fr-FR"/>
        </w:rPr>
        <w:t xml:space="preserve">une part, les personnes infectées par des transfusions de </w:t>
      </w:r>
      <w:r w:rsidRPr="00874348">
        <w:rPr>
          <w:rFonts w:eastAsia="Times New Roman"/>
          <w:lang w:val="fr-FR"/>
        </w:rPr>
        <w:t>sang ou par l</w:t>
      </w:r>
      <w:r w:rsidR="00874348" w:rsidRPr="00874348">
        <w:rPr>
          <w:rFonts w:eastAsia="Times New Roman"/>
          <w:lang w:val="fr-FR"/>
        </w:rPr>
        <w:t>’</w:t>
      </w:r>
      <w:r w:rsidRPr="00874348">
        <w:rPr>
          <w:rFonts w:eastAsia="Times New Roman"/>
          <w:lang w:val="fr-FR"/>
        </w:rPr>
        <w:t>administration de produits infectés dérivés du sang et, d</w:t>
      </w:r>
      <w:r w:rsidR="00874348" w:rsidRPr="00874348">
        <w:rPr>
          <w:rFonts w:eastAsia="Times New Roman"/>
          <w:lang w:val="fr-FR"/>
        </w:rPr>
        <w:t>’</w:t>
      </w:r>
      <w:r w:rsidRPr="00874348">
        <w:rPr>
          <w:rFonts w:eastAsia="Times New Roman"/>
          <w:lang w:val="fr-FR"/>
        </w:rPr>
        <w:t>autre part, celles ayant subi un préjudice à la suite de vaccinations obligatoires dans la mesure respectivement de 100 000 EUR et 20 000 EUR pour chacune des personnes concernées.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106</w:t>
      </w:r>
      <w:r w:rsidRPr="00874348">
        <w:rPr>
          <w:rFonts w:eastAsia="Times New Roman"/>
          <w:lang w:val="fr-FR"/>
        </w:rPr>
        <w:fldChar w:fldCharType="end"/>
      </w:r>
      <w:r w:rsidRPr="00874348">
        <w:rPr>
          <w:rFonts w:eastAsia="Times New Roman"/>
          <w:lang w:val="fr-FR"/>
        </w:rPr>
        <w:t>.  S</w:t>
      </w:r>
      <w:r w:rsidR="00874348" w:rsidRPr="00874348">
        <w:rPr>
          <w:rFonts w:eastAsia="Times New Roman"/>
          <w:lang w:val="fr-FR"/>
        </w:rPr>
        <w:t>’</w:t>
      </w:r>
      <w:r w:rsidRPr="00874348">
        <w:rPr>
          <w:rFonts w:eastAsia="Times New Roman"/>
          <w:lang w:val="fr-FR"/>
        </w:rPr>
        <w:t>adressant aux personnes ayant présenté leur demande d</w:t>
      </w:r>
      <w:r w:rsidR="00874348" w:rsidRPr="00874348">
        <w:rPr>
          <w:rFonts w:eastAsia="Times New Roman"/>
          <w:lang w:val="fr-FR"/>
        </w:rPr>
        <w:t>’</w:t>
      </w:r>
      <w:r w:rsidRPr="00874348">
        <w:rPr>
          <w:rFonts w:eastAsia="Times New Roman"/>
          <w:lang w:val="fr-FR"/>
        </w:rPr>
        <w:t>adhésion aux transactions au sens des lois n</w:t>
      </w:r>
      <w:r w:rsidRPr="00874348">
        <w:rPr>
          <w:rFonts w:eastAsia="Times New Roman"/>
          <w:vertAlign w:val="superscript"/>
          <w:lang w:val="fr-FR"/>
        </w:rPr>
        <w:t>o</w:t>
      </w:r>
      <w:r w:rsidRPr="00874348">
        <w:rPr>
          <w:rFonts w:eastAsia="Times New Roman"/>
          <w:lang w:val="fr-FR"/>
        </w:rPr>
        <w:t xml:space="preserve"> 222/2007 et 244/2007 au plus tard le 19 janvier 2010, cette disposition constitue une mesure générale de nature à réparer les violations alléguées par les requérants.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107</w:t>
      </w:r>
      <w:r w:rsidRPr="00874348">
        <w:rPr>
          <w:rFonts w:eastAsia="Times New Roman"/>
          <w:lang w:val="fr-FR"/>
        </w:rPr>
        <w:fldChar w:fldCharType="end"/>
      </w:r>
      <w:r w:rsidRPr="00874348">
        <w:rPr>
          <w:rFonts w:eastAsia="Times New Roman"/>
          <w:lang w:val="fr-FR"/>
        </w:rPr>
        <w:t>.  Les demandes doivent remplir les conditions prévues à l</w:t>
      </w:r>
      <w:r w:rsidR="00874348" w:rsidRPr="00874348">
        <w:rPr>
          <w:rFonts w:eastAsia="Times New Roman"/>
          <w:lang w:val="fr-FR"/>
        </w:rPr>
        <w:t>’</w:t>
      </w:r>
      <w:r w:rsidRPr="00874348">
        <w:rPr>
          <w:rFonts w:eastAsia="Times New Roman"/>
          <w:lang w:val="fr-FR"/>
        </w:rPr>
        <w:t>article 2 a) et b) du règlement n</w:t>
      </w:r>
      <w:r w:rsidRPr="00874348">
        <w:rPr>
          <w:rFonts w:eastAsia="Times New Roman"/>
          <w:vertAlign w:val="superscript"/>
          <w:lang w:val="fr-FR"/>
        </w:rPr>
        <w:t>o</w:t>
      </w:r>
      <w:r w:rsidRPr="00874348">
        <w:rPr>
          <w:rFonts w:eastAsia="Times New Roman"/>
          <w:lang w:val="fr-FR"/>
        </w:rPr>
        <w:t xml:space="preserve"> 132 du 28 avril 2009, à savoir l</w:t>
      </w:r>
      <w:r w:rsidR="00874348" w:rsidRPr="00874348">
        <w:rPr>
          <w:rFonts w:eastAsia="Times New Roman"/>
          <w:lang w:val="fr-FR"/>
        </w:rPr>
        <w:t>’</w:t>
      </w:r>
      <w:r w:rsidRPr="00874348">
        <w:rPr>
          <w:rFonts w:eastAsia="Times New Roman"/>
          <w:lang w:val="fr-FR"/>
        </w:rPr>
        <w:t>existence, d</w:t>
      </w:r>
      <w:r w:rsidR="00874348" w:rsidRPr="00874348">
        <w:rPr>
          <w:rFonts w:eastAsia="Times New Roman"/>
          <w:lang w:val="fr-FR"/>
        </w:rPr>
        <w:t>’</w:t>
      </w:r>
      <w:r w:rsidRPr="00874348">
        <w:rPr>
          <w:rFonts w:eastAsia="Times New Roman"/>
          <w:lang w:val="fr-FR"/>
        </w:rPr>
        <w:t>une part, d</w:t>
      </w:r>
      <w:r w:rsidR="00874348" w:rsidRPr="00874348">
        <w:rPr>
          <w:rFonts w:eastAsia="Times New Roman"/>
          <w:lang w:val="fr-FR"/>
        </w:rPr>
        <w:t>’</w:t>
      </w:r>
      <w:r w:rsidRPr="00874348">
        <w:rPr>
          <w:rFonts w:eastAsia="Times New Roman"/>
          <w:lang w:val="fr-FR"/>
        </w:rPr>
        <w:t>un préjudice établi dans le tableau A annexé au décret du Président de la République n</w:t>
      </w:r>
      <w:r w:rsidRPr="00874348">
        <w:rPr>
          <w:rFonts w:eastAsia="Times New Roman"/>
          <w:vertAlign w:val="superscript"/>
          <w:lang w:val="fr-FR"/>
        </w:rPr>
        <w:t>o</w:t>
      </w:r>
      <w:r w:rsidRPr="00874348">
        <w:rPr>
          <w:rFonts w:eastAsia="Times New Roman"/>
          <w:lang w:val="fr-FR"/>
        </w:rPr>
        <w:t xml:space="preserve"> 834 du 30 décembre 1981 et, d</w:t>
      </w:r>
      <w:r w:rsidR="00874348" w:rsidRPr="00874348">
        <w:rPr>
          <w:rFonts w:eastAsia="Times New Roman"/>
          <w:lang w:val="fr-FR"/>
        </w:rPr>
        <w:t>’</w:t>
      </w:r>
      <w:r w:rsidRPr="00874348">
        <w:rPr>
          <w:rFonts w:eastAsia="Times New Roman"/>
          <w:lang w:val="fr-FR"/>
        </w:rPr>
        <w:t>autre part, d</w:t>
      </w:r>
      <w:r w:rsidR="00874348" w:rsidRPr="00874348">
        <w:rPr>
          <w:rFonts w:eastAsia="Times New Roman"/>
          <w:lang w:val="fr-FR"/>
        </w:rPr>
        <w:t>’</w:t>
      </w:r>
      <w:r w:rsidRPr="00874348">
        <w:rPr>
          <w:rFonts w:eastAsia="Times New Roman"/>
          <w:lang w:val="fr-FR"/>
        </w:rPr>
        <w:t>un lien de causalité entre le préjudice susmentionné et la transfusion du sang infecté, l</w:t>
      </w:r>
      <w:r w:rsidR="00874348" w:rsidRPr="00874348">
        <w:rPr>
          <w:rFonts w:eastAsia="Times New Roman"/>
          <w:lang w:val="fr-FR"/>
        </w:rPr>
        <w:t>’</w:t>
      </w:r>
      <w:r w:rsidRPr="00874348">
        <w:rPr>
          <w:rFonts w:eastAsia="Times New Roman"/>
          <w:lang w:val="fr-FR"/>
        </w:rPr>
        <w:t>administration de produits infectés dérivés du sang ou la vaccination obligatoire.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108</w:t>
      </w:r>
      <w:r w:rsidRPr="00874348">
        <w:rPr>
          <w:rFonts w:eastAsia="Times New Roman"/>
          <w:lang w:val="fr-FR"/>
        </w:rPr>
        <w:fldChar w:fldCharType="end"/>
      </w:r>
      <w:r w:rsidRPr="00874348">
        <w:rPr>
          <w:rFonts w:eastAsia="Times New Roman"/>
          <w:lang w:val="fr-FR"/>
        </w:rPr>
        <w:t>.  Le Gouvernement souligne que les sommes prévues sont octroyées indépendamment de la prescription du droit des requérants et du fait que la transfusion éventuelle soit antérieure au 24 juillet 1978. Ce remède est donc accessible à ceux parmi les requérants qui avaient été exclus de la procédure de transaction en raison d</w:t>
      </w:r>
      <w:r w:rsidR="00874348" w:rsidRPr="00874348">
        <w:rPr>
          <w:rFonts w:eastAsia="Times New Roman"/>
          <w:lang w:val="fr-FR"/>
        </w:rPr>
        <w:t>’</w:t>
      </w:r>
      <w:r w:rsidRPr="00874348">
        <w:rPr>
          <w:rFonts w:eastAsia="Times New Roman"/>
          <w:lang w:val="fr-FR"/>
        </w:rPr>
        <w:t xml:space="preserve">une décision défavorable dérivant de la prescription de leur droit. De plus, le Gouvernement indique que le nouveau </w:t>
      </w:r>
      <w:r w:rsidRPr="00874348">
        <w:rPr>
          <w:rFonts w:eastAsia="Times New Roman"/>
          <w:lang w:val="fr-FR"/>
        </w:rPr>
        <w:lastRenderedPageBreak/>
        <w:t>remède est ouvert également aux personnes dont la procédure interne en dédommagement s</w:t>
      </w:r>
      <w:r w:rsidR="00874348" w:rsidRPr="00874348">
        <w:rPr>
          <w:rFonts w:eastAsia="Times New Roman"/>
          <w:lang w:val="fr-FR"/>
        </w:rPr>
        <w:t>’</w:t>
      </w:r>
      <w:r w:rsidRPr="00874348">
        <w:rPr>
          <w:rFonts w:eastAsia="Times New Roman"/>
          <w:lang w:val="fr-FR"/>
        </w:rPr>
        <w:t>est clôturée par une décision défavorable.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109</w:t>
      </w:r>
      <w:r w:rsidRPr="00874348">
        <w:rPr>
          <w:rFonts w:eastAsia="Times New Roman"/>
          <w:lang w:val="fr-FR"/>
        </w:rPr>
        <w:fldChar w:fldCharType="end"/>
      </w:r>
      <w:r w:rsidRPr="00874348">
        <w:rPr>
          <w:rFonts w:eastAsia="Times New Roman"/>
          <w:lang w:val="fr-FR"/>
        </w:rPr>
        <w:t>.  Il note que toute personne étant partie des procédures internes pendantes a le choix entre, d</w:t>
      </w:r>
      <w:r w:rsidR="00874348" w:rsidRPr="00874348">
        <w:rPr>
          <w:rFonts w:eastAsia="Times New Roman"/>
          <w:lang w:val="fr-FR"/>
        </w:rPr>
        <w:t>’</w:t>
      </w:r>
      <w:r w:rsidRPr="00874348">
        <w:rPr>
          <w:rFonts w:eastAsia="Times New Roman"/>
          <w:lang w:val="fr-FR"/>
        </w:rPr>
        <w:t>une part, l</w:t>
      </w:r>
      <w:r w:rsidR="00874348" w:rsidRPr="00874348">
        <w:rPr>
          <w:rFonts w:eastAsia="Times New Roman"/>
          <w:lang w:val="fr-FR"/>
        </w:rPr>
        <w:t>’</w:t>
      </w:r>
      <w:r w:rsidRPr="00874348">
        <w:rPr>
          <w:rFonts w:eastAsia="Times New Roman"/>
          <w:lang w:val="fr-FR"/>
        </w:rPr>
        <w:t>utilisation du nouveau remède prévu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et, d</w:t>
      </w:r>
      <w:r w:rsidR="00874348" w:rsidRPr="00874348">
        <w:rPr>
          <w:rFonts w:eastAsia="Times New Roman"/>
          <w:lang w:val="fr-FR"/>
        </w:rPr>
        <w:t>’</w:t>
      </w:r>
      <w:r w:rsidRPr="00874348">
        <w:rPr>
          <w:rFonts w:eastAsia="Times New Roman"/>
          <w:lang w:val="fr-FR"/>
        </w:rPr>
        <w:t>autre part, la poursuite de la procédure interne.</w:t>
      </w:r>
    </w:p>
    <w:p w:rsidR="00506071" w:rsidRPr="00874348" w:rsidRDefault="00506071" w:rsidP="00874348">
      <w:pPr>
        <w:pStyle w:val="ECHRPara"/>
        <w:rPr>
          <w:rFonts w:eastAsia="Times New Roman"/>
          <w:szCs w:val="24"/>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110</w:t>
      </w:r>
      <w:r w:rsidRPr="00874348">
        <w:rPr>
          <w:rFonts w:eastAsia="Times New Roman"/>
          <w:lang w:val="fr-FR"/>
        </w:rPr>
        <w:fldChar w:fldCharType="end"/>
      </w:r>
      <w:r w:rsidRPr="00874348">
        <w:rPr>
          <w:rFonts w:eastAsia="Times New Roman"/>
          <w:lang w:val="fr-FR"/>
        </w:rPr>
        <w:t>.  Quant à la mise en œuvre de ce remède, le Gouvernement indique avoir établi un plan d</w:t>
      </w:r>
      <w:r w:rsidR="00874348" w:rsidRPr="00874348">
        <w:rPr>
          <w:rFonts w:eastAsia="Times New Roman"/>
          <w:lang w:val="fr-FR"/>
        </w:rPr>
        <w:t>’</w:t>
      </w:r>
      <w:r w:rsidRPr="00874348">
        <w:rPr>
          <w:rFonts w:eastAsia="Times New Roman"/>
          <w:lang w:val="fr-FR"/>
        </w:rPr>
        <w:t>action pluriannuel prévoyant la clôture d</w:t>
      </w:r>
      <w:r w:rsidR="00874348" w:rsidRPr="00874348">
        <w:rPr>
          <w:rFonts w:eastAsia="Times New Roman"/>
          <w:lang w:val="fr-FR"/>
        </w:rPr>
        <w:t>’</w:t>
      </w:r>
      <w:r w:rsidRPr="00874348">
        <w:rPr>
          <w:rFonts w:eastAsia="Times New Roman"/>
          <w:lang w:val="fr-FR"/>
        </w:rPr>
        <w:t>une première tranche de 1 000 dossiers avant le 31 décembre 2014 et d</w:t>
      </w:r>
      <w:r w:rsidR="00874348" w:rsidRPr="00874348">
        <w:rPr>
          <w:rFonts w:eastAsia="Times New Roman"/>
          <w:lang w:val="fr-FR"/>
        </w:rPr>
        <w:t>’</w:t>
      </w:r>
      <w:r w:rsidRPr="00874348">
        <w:rPr>
          <w:rFonts w:eastAsia="Times New Roman"/>
          <w:lang w:val="fr-FR"/>
        </w:rPr>
        <w:t>une deuxième tranche d</w:t>
      </w:r>
      <w:r w:rsidR="00874348" w:rsidRPr="00874348">
        <w:rPr>
          <w:rFonts w:eastAsia="Times New Roman"/>
          <w:lang w:val="fr-FR"/>
        </w:rPr>
        <w:t>’</w:t>
      </w:r>
      <w:r w:rsidRPr="00874348">
        <w:rPr>
          <w:rFonts w:eastAsia="Times New Roman"/>
          <w:lang w:val="fr-FR"/>
        </w:rPr>
        <w:t xml:space="preserve">environ 1 835 dossiers par an avant le 31 décembre 2017. </w:t>
      </w:r>
      <w:r w:rsidRPr="00874348">
        <w:rPr>
          <w:rFonts w:eastAsia="Times New Roman"/>
          <w:szCs w:val="24"/>
          <w:lang w:val="fr-FR"/>
        </w:rPr>
        <w:t>Selon les informations fournies par le Gouvernement le 17 septembre 2015, 900 ordres de payement ont été émis à ce jour depuis l</w:t>
      </w:r>
      <w:r w:rsidR="00874348" w:rsidRPr="00874348">
        <w:rPr>
          <w:rFonts w:eastAsia="Times New Roman"/>
          <w:szCs w:val="24"/>
          <w:lang w:val="fr-FR"/>
        </w:rPr>
        <w:t>’</w:t>
      </w:r>
      <w:r w:rsidRPr="00874348">
        <w:rPr>
          <w:rFonts w:eastAsia="Times New Roman"/>
          <w:szCs w:val="24"/>
          <w:lang w:val="fr-FR"/>
        </w:rPr>
        <w:t>entrée en vigueur du décret-loi n</w:t>
      </w:r>
      <w:r w:rsidRPr="00874348">
        <w:rPr>
          <w:rFonts w:eastAsia="Times New Roman"/>
          <w:szCs w:val="24"/>
          <w:vertAlign w:val="superscript"/>
          <w:lang w:val="fr-FR"/>
        </w:rPr>
        <w:t>o</w:t>
      </w:r>
      <w:r w:rsidRPr="00874348">
        <w:rPr>
          <w:rFonts w:eastAsia="Times New Roman"/>
          <w:szCs w:val="24"/>
          <w:lang w:val="fr-FR"/>
        </w:rPr>
        <w:t xml:space="preserve"> 90/2014.</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111</w:t>
      </w:r>
      <w:r w:rsidRPr="00874348">
        <w:rPr>
          <w:rFonts w:eastAsia="Times New Roman"/>
          <w:lang w:val="fr-FR"/>
        </w:rPr>
        <w:fldChar w:fldCharType="end"/>
      </w:r>
      <w:r w:rsidRPr="00874348">
        <w:rPr>
          <w:rFonts w:eastAsia="Times New Roman"/>
          <w:lang w:val="fr-FR"/>
        </w:rPr>
        <w:t>.  Le Gouvernement souligne, en outre, l</w:t>
      </w:r>
      <w:r w:rsidR="00874348" w:rsidRPr="00874348">
        <w:rPr>
          <w:rFonts w:eastAsia="Times New Roman"/>
          <w:lang w:val="fr-FR"/>
        </w:rPr>
        <w:t>’</w:t>
      </w:r>
      <w:r w:rsidRPr="00874348">
        <w:rPr>
          <w:rFonts w:eastAsia="Times New Roman"/>
          <w:lang w:val="fr-FR"/>
        </w:rPr>
        <w:t>importance des montants prévus par ce décret et le fait que ceux-ci sont payés aux demandeurs en une seule fois. En se référant au principe de subsidiarité, le Gouvernement plaide enfin l</w:t>
      </w:r>
      <w:r w:rsidR="00874348" w:rsidRPr="00874348">
        <w:rPr>
          <w:rFonts w:eastAsia="Times New Roman"/>
          <w:lang w:val="fr-FR"/>
        </w:rPr>
        <w:t>’</w:t>
      </w:r>
      <w:r w:rsidRPr="00874348">
        <w:rPr>
          <w:rFonts w:eastAsia="Times New Roman"/>
          <w:lang w:val="fr-FR"/>
        </w:rPr>
        <w:t>irrecevabilité des requêtes, au sens de l</w:t>
      </w:r>
      <w:r w:rsidR="00874348" w:rsidRPr="00874348">
        <w:rPr>
          <w:rFonts w:eastAsia="Times New Roman"/>
          <w:lang w:val="fr-FR"/>
        </w:rPr>
        <w:t>’</w:t>
      </w:r>
      <w:r w:rsidRPr="00874348">
        <w:rPr>
          <w:rFonts w:eastAsia="Times New Roman"/>
          <w:lang w:val="fr-FR"/>
        </w:rPr>
        <w:t>article 35 §§ 1 et 4 de la Convention.</w:t>
      </w:r>
    </w:p>
    <w:p w:rsidR="00506071" w:rsidRPr="00874348" w:rsidRDefault="006565C8" w:rsidP="00874348">
      <w:pPr>
        <w:pStyle w:val="ECHRHeading4"/>
        <w:rPr>
          <w:rFonts w:eastAsia="Times New Roman"/>
          <w:lang w:val="fr-FR"/>
        </w:rPr>
      </w:pPr>
      <w:r w:rsidRPr="00874348">
        <w:rPr>
          <w:rFonts w:eastAsia="Times New Roman"/>
          <w:lang w:val="fr-FR"/>
        </w:rPr>
        <w:t>b)  </w:t>
      </w:r>
      <w:r w:rsidR="00506071" w:rsidRPr="00874348">
        <w:rPr>
          <w:rFonts w:eastAsia="Times New Roman"/>
          <w:lang w:val="fr-FR"/>
        </w:rPr>
        <w:t xml:space="preserve">Concernant les requêtes </w:t>
      </w:r>
      <w:r w:rsidR="00506071" w:rsidRPr="00874348">
        <w:rPr>
          <w:rFonts w:eastAsia="Times New Roman" w:cs="Calibri"/>
          <w:lang w:val="fr-FR"/>
        </w:rPr>
        <w:t xml:space="preserve">indiquées aux </w:t>
      </w:r>
      <w:r w:rsidR="00506071" w:rsidRPr="00874348">
        <w:rPr>
          <w:rFonts w:eastAsia="Times New Roman"/>
          <w:lang w:val="fr-FR"/>
        </w:rPr>
        <w:t>n</w:t>
      </w:r>
      <w:r w:rsidR="00506071" w:rsidRPr="00874348">
        <w:rPr>
          <w:rFonts w:eastAsia="Times New Roman"/>
          <w:vertAlign w:val="superscript"/>
          <w:lang w:val="fr-FR"/>
        </w:rPr>
        <w:t>os</w:t>
      </w:r>
      <w:r w:rsidR="00506071" w:rsidRPr="00874348">
        <w:rPr>
          <w:rFonts w:eastAsia="Times New Roman"/>
          <w:lang w:val="fr-FR"/>
        </w:rPr>
        <w:t xml:space="preserve"> 16 à 19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112</w:t>
      </w:r>
      <w:r w:rsidRPr="00874348">
        <w:rPr>
          <w:rFonts w:eastAsia="Times New Roman"/>
          <w:lang w:val="fr-FR"/>
        </w:rPr>
        <w:fldChar w:fldCharType="end"/>
      </w:r>
      <w:r w:rsidRPr="00874348">
        <w:rPr>
          <w:rFonts w:eastAsia="Times New Roman"/>
          <w:lang w:val="fr-FR"/>
        </w:rPr>
        <w:t>.  Dans ses observations du 12 mai 2014, le Gouvernement observait que les requêtes en question devaient être déclarées irrecevables au sens de l</w:t>
      </w:r>
      <w:r w:rsidR="00874348" w:rsidRPr="00874348">
        <w:rPr>
          <w:rFonts w:eastAsia="Times New Roman"/>
          <w:lang w:val="fr-FR"/>
        </w:rPr>
        <w:t>’</w:t>
      </w:r>
      <w:r w:rsidRPr="00874348">
        <w:rPr>
          <w:rFonts w:eastAsia="Times New Roman"/>
          <w:lang w:val="fr-FR"/>
        </w:rPr>
        <w:t>article 35 § 1 de la Convention, car «les procédures introduites par les requérants étaient pendantes ».</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113</w:t>
      </w:r>
      <w:r w:rsidRPr="00874348">
        <w:rPr>
          <w:rFonts w:eastAsia="Times New Roman"/>
          <w:lang w:val="fr-FR"/>
        </w:rPr>
        <w:fldChar w:fldCharType="end"/>
      </w:r>
      <w:r w:rsidRPr="00874348">
        <w:rPr>
          <w:rFonts w:eastAsia="Times New Roman"/>
          <w:lang w:val="fr-FR"/>
        </w:rPr>
        <w:t xml:space="preserve">.  Il relevait aussi que les requérants pouvaient introduire une </w:t>
      </w:r>
      <w:r w:rsidRPr="00874348">
        <w:rPr>
          <w:rFonts w:eastAsia="Times New Roman"/>
          <w:i/>
          <w:lang w:val="fr-FR"/>
        </w:rPr>
        <w:t>class action</w:t>
      </w:r>
      <w:r w:rsidRPr="00874348">
        <w:rPr>
          <w:rFonts w:eastAsia="Times New Roman"/>
          <w:lang w:val="fr-FR"/>
        </w:rPr>
        <w:t xml:space="preserve"> devant les juridictions administratives afin d</w:t>
      </w:r>
      <w:r w:rsidR="00874348" w:rsidRPr="00874348">
        <w:rPr>
          <w:rFonts w:eastAsia="Times New Roman"/>
          <w:lang w:val="fr-FR"/>
        </w:rPr>
        <w:t>’</w:t>
      </w:r>
      <w:r w:rsidRPr="00874348">
        <w:rPr>
          <w:rFonts w:eastAsia="Times New Roman"/>
          <w:lang w:val="fr-FR"/>
        </w:rPr>
        <w:t>obtenir la réparation des violations qu</w:t>
      </w:r>
      <w:r w:rsidR="00874348" w:rsidRPr="00874348">
        <w:rPr>
          <w:rFonts w:eastAsia="Times New Roman"/>
          <w:lang w:val="fr-FR"/>
        </w:rPr>
        <w:t>’</w:t>
      </w:r>
      <w:r w:rsidRPr="00874348">
        <w:rPr>
          <w:rFonts w:eastAsia="Times New Roman"/>
          <w:lang w:val="fr-FR"/>
        </w:rPr>
        <w:t>ils allèguent devant la Cour.</w:t>
      </w:r>
    </w:p>
    <w:p w:rsidR="00506071" w:rsidRPr="00874348" w:rsidRDefault="00506071" w:rsidP="00874348">
      <w:pPr>
        <w:pStyle w:val="ECHRPara"/>
        <w:rPr>
          <w:rFonts w:eastAsia="Times New Roman"/>
          <w:szCs w:val="24"/>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114</w:t>
      </w:r>
      <w:r w:rsidRPr="00874348">
        <w:rPr>
          <w:rFonts w:eastAsia="Times New Roman"/>
          <w:lang w:val="fr-FR"/>
        </w:rPr>
        <w:fldChar w:fldCharType="end"/>
      </w:r>
      <w:r w:rsidRPr="00874348">
        <w:rPr>
          <w:rFonts w:eastAsia="Times New Roman"/>
          <w:lang w:val="fr-FR"/>
        </w:rPr>
        <w:t>.  En outre, il faisait valoir qu</w:t>
      </w:r>
      <w:r w:rsidR="00874348" w:rsidRPr="00874348">
        <w:rPr>
          <w:rFonts w:eastAsia="Times New Roman"/>
          <w:lang w:val="fr-FR"/>
        </w:rPr>
        <w:t>’</w:t>
      </w:r>
      <w:r w:rsidRPr="00874348">
        <w:rPr>
          <w:rFonts w:eastAsia="Times New Roman"/>
          <w:lang w:val="fr-FR"/>
        </w:rPr>
        <w:t>environ 7 000 demandes d</w:t>
      </w:r>
      <w:r w:rsidR="00874348" w:rsidRPr="00874348">
        <w:rPr>
          <w:rFonts w:eastAsia="Times New Roman"/>
          <w:lang w:val="fr-FR"/>
        </w:rPr>
        <w:t>’</w:t>
      </w:r>
      <w:r w:rsidRPr="00874348">
        <w:rPr>
          <w:rFonts w:eastAsia="Times New Roman"/>
          <w:lang w:val="fr-FR"/>
        </w:rPr>
        <w:t xml:space="preserve">accès aux règlements amiable avaient été introduites devant le ministère de la Santé. </w:t>
      </w:r>
      <w:r w:rsidRPr="00874348">
        <w:rPr>
          <w:rFonts w:eastAsia="Times New Roman"/>
          <w:szCs w:val="24"/>
          <w:lang w:val="fr-FR"/>
        </w:rPr>
        <w:t>Parmi celles-ci, 709 avaient été traitées favorablement, 1 432 avaient été rejetées, 3 082 avaient donné lieu à des préavis de rejet (à c</w:t>
      </w:r>
      <w:r w:rsidR="00874348" w:rsidRPr="00874348">
        <w:rPr>
          <w:rFonts w:eastAsia="Times New Roman"/>
          <w:szCs w:val="24"/>
          <w:lang w:val="fr-FR"/>
        </w:rPr>
        <w:t>’</w:t>
      </w:r>
      <w:r w:rsidRPr="00874348">
        <w:rPr>
          <w:rFonts w:eastAsia="Times New Roman"/>
          <w:szCs w:val="24"/>
          <w:lang w:val="fr-FR"/>
        </w:rPr>
        <w:t>est-à-dire, l</w:t>
      </w:r>
      <w:r w:rsidR="00874348" w:rsidRPr="00874348">
        <w:rPr>
          <w:rFonts w:eastAsia="Times New Roman"/>
          <w:szCs w:val="24"/>
          <w:lang w:val="fr-FR"/>
        </w:rPr>
        <w:t>’</w:t>
      </w:r>
      <w:r w:rsidRPr="00874348">
        <w:rPr>
          <w:rFonts w:eastAsia="Times New Roman"/>
          <w:szCs w:val="24"/>
          <w:lang w:val="fr-FR"/>
        </w:rPr>
        <w:t>information fournie par l</w:t>
      </w:r>
      <w:r w:rsidR="00874348" w:rsidRPr="00874348">
        <w:rPr>
          <w:rFonts w:eastAsia="Times New Roman"/>
          <w:szCs w:val="24"/>
          <w:lang w:val="fr-FR"/>
        </w:rPr>
        <w:t>’</w:t>
      </w:r>
      <w:r w:rsidRPr="00874348">
        <w:rPr>
          <w:rFonts w:eastAsia="Times New Roman"/>
          <w:szCs w:val="24"/>
          <w:lang w:val="fr-FR"/>
        </w:rPr>
        <w:t>administration quant au possible rejet de la demande) et les demandes restantes étaient pendantes.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115</w:t>
      </w:r>
      <w:r w:rsidRPr="00874348">
        <w:rPr>
          <w:rFonts w:eastAsia="Times New Roman"/>
          <w:lang w:val="fr-FR"/>
        </w:rPr>
        <w:fldChar w:fldCharType="end"/>
      </w:r>
      <w:r w:rsidRPr="00874348">
        <w:rPr>
          <w:rFonts w:eastAsia="Times New Roman"/>
          <w:lang w:val="fr-FR"/>
        </w:rPr>
        <w:t>.  Après l</w:t>
      </w:r>
      <w:r w:rsidR="00874348" w:rsidRPr="00874348">
        <w:rPr>
          <w:rFonts w:eastAsia="Times New Roman"/>
          <w:lang w:val="fr-FR"/>
        </w:rPr>
        <w:t>’</w:t>
      </w:r>
      <w:r w:rsidRPr="00874348">
        <w:rPr>
          <w:rFonts w:eastAsia="Times New Roman"/>
          <w:lang w:val="fr-FR"/>
        </w:rPr>
        <w:t>entrée en vigueur de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le Gouvernement a souligné l</w:t>
      </w:r>
      <w:r w:rsidR="00874348" w:rsidRPr="00874348">
        <w:rPr>
          <w:rFonts w:eastAsia="Times New Roman"/>
          <w:lang w:val="fr-FR"/>
        </w:rPr>
        <w:t>’</w:t>
      </w:r>
      <w:r w:rsidRPr="00874348">
        <w:rPr>
          <w:rFonts w:eastAsia="Times New Roman"/>
          <w:lang w:val="fr-FR"/>
        </w:rPr>
        <w:t>importance de la possibilité d</w:t>
      </w:r>
      <w:r w:rsidR="00874348" w:rsidRPr="00874348">
        <w:rPr>
          <w:rFonts w:eastAsia="Times New Roman"/>
          <w:lang w:val="fr-FR"/>
        </w:rPr>
        <w:t>’</w:t>
      </w:r>
      <w:r w:rsidRPr="00874348">
        <w:rPr>
          <w:rFonts w:eastAsia="Times New Roman"/>
          <w:lang w:val="fr-FR"/>
        </w:rPr>
        <w:t>adhérer à la nouvelle procédure de transaction, « tel qu</w:t>
      </w:r>
      <w:r w:rsidR="00874348" w:rsidRPr="00874348">
        <w:rPr>
          <w:rFonts w:eastAsia="Times New Roman"/>
          <w:lang w:val="fr-FR"/>
        </w:rPr>
        <w:t>’</w:t>
      </w:r>
      <w:r w:rsidRPr="00874348">
        <w:rPr>
          <w:rFonts w:eastAsia="Times New Roman"/>
          <w:lang w:val="fr-FR"/>
        </w:rPr>
        <w:t>il a déjà été observé dans le cadre des observations précédentes ».</w:t>
      </w:r>
    </w:p>
    <w:p w:rsidR="00506071" w:rsidRPr="00874348" w:rsidRDefault="006565C8" w:rsidP="00874348">
      <w:pPr>
        <w:pStyle w:val="ECHRHeading3"/>
        <w:rPr>
          <w:rFonts w:eastAsia="Times New Roman"/>
          <w:lang w:val="fr-FR"/>
        </w:rPr>
      </w:pPr>
      <w:r w:rsidRPr="00874348">
        <w:rPr>
          <w:rFonts w:eastAsia="Times New Roman"/>
          <w:lang w:val="fr-FR"/>
        </w:rPr>
        <w:lastRenderedPageBreak/>
        <w:t>2.  </w:t>
      </w:r>
      <w:r w:rsidR="00506071" w:rsidRPr="00874348">
        <w:rPr>
          <w:rFonts w:eastAsia="Times New Roman"/>
          <w:lang w:val="fr-FR"/>
        </w:rPr>
        <w:t>La position des requérants</w:t>
      </w:r>
    </w:p>
    <w:p w:rsidR="00506071" w:rsidRPr="00874348" w:rsidRDefault="00506071" w:rsidP="00874348">
      <w:pPr>
        <w:pStyle w:val="ECHRHeading4"/>
        <w:rPr>
          <w:rFonts w:eastAsia="Times New Roman"/>
          <w:lang w:val="fr-FR"/>
        </w:rPr>
      </w:pPr>
      <w:r w:rsidRPr="00874348">
        <w:rPr>
          <w:rFonts w:eastAsia="Times New Roman"/>
          <w:lang w:val="fr-FR"/>
        </w:rPr>
        <w:t xml:space="preserve">a)  Considérations préliminaires concernant la tardiveté alléguée des observations du Gouvernement (requêtes </w:t>
      </w:r>
      <w:r w:rsidRPr="00874348">
        <w:rPr>
          <w:rFonts w:eastAsia="Times New Roman" w:cs="Calibri"/>
          <w:lang w:val="fr-FR"/>
        </w:rPr>
        <w:t xml:space="preserve">indiquées aux </w:t>
      </w:r>
      <w:r w:rsidRPr="00874348">
        <w:rPr>
          <w:rFonts w:eastAsia="Times New Roman"/>
          <w:lang w:val="fr-FR"/>
        </w:rPr>
        <w:t>n</w:t>
      </w:r>
      <w:r w:rsidRPr="00874348">
        <w:rPr>
          <w:rFonts w:eastAsia="Times New Roman"/>
          <w:vertAlign w:val="superscript"/>
          <w:lang w:val="fr-FR"/>
        </w:rPr>
        <w:t>os</w:t>
      </w:r>
      <w:r w:rsidRPr="00874348">
        <w:rPr>
          <w:rFonts w:eastAsia="Times New Roman"/>
          <w:lang w:val="fr-FR"/>
        </w:rPr>
        <w:t xml:space="preserve"> 5 à 15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116</w:t>
      </w:r>
      <w:r w:rsidRPr="00874348">
        <w:rPr>
          <w:rFonts w:eastAsia="Times New Roman"/>
          <w:lang w:val="fr-FR"/>
        </w:rPr>
        <w:fldChar w:fldCharType="end"/>
      </w:r>
      <w:r w:rsidRPr="00874348">
        <w:rPr>
          <w:rFonts w:eastAsia="Times New Roman"/>
          <w:lang w:val="fr-FR"/>
        </w:rPr>
        <w:t>.  Les requérants observent d</w:t>
      </w:r>
      <w:r w:rsidR="00874348" w:rsidRPr="00874348">
        <w:rPr>
          <w:rFonts w:eastAsia="Times New Roman"/>
          <w:lang w:val="fr-FR"/>
        </w:rPr>
        <w:t>’</w:t>
      </w:r>
      <w:r w:rsidRPr="00874348">
        <w:rPr>
          <w:rFonts w:eastAsia="Times New Roman"/>
          <w:lang w:val="fr-FR"/>
        </w:rPr>
        <w:t>emblée que les observations présentées par le Gouvernement concernant le nouveau remède prévu par le décret-loi n</w:t>
      </w:r>
      <w:r w:rsidRPr="00874348">
        <w:rPr>
          <w:rFonts w:eastAsia="Times New Roman"/>
          <w:vertAlign w:val="superscript"/>
          <w:lang w:val="fr-FR"/>
        </w:rPr>
        <w:t>o</w:t>
      </w:r>
      <w:r w:rsidRPr="00874348">
        <w:rPr>
          <w:rFonts w:eastAsia="Times New Roman"/>
          <w:lang w:val="fr-FR"/>
        </w:rPr>
        <w:t xml:space="preserve"> 90/2014 devraient être déclarées tardives car elles ont été présentées au-delà du délai fixé par la Cour.</w:t>
      </w:r>
    </w:p>
    <w:p w:rsidR="00506071" w:rsidRPr="00874348" w:rsidRDefault="006565C8" w:rsidP="00874348">
      <w:pPr>
        <w:pStyle w:val="ECHRHeading4"/>
        <w:rPr>
          <w:rFonts w:eastAsia="Times New Roman"/>
          <w:lang w:val="fr-FR"/>
        </w:rPr>
      </w:pPr>
      <w:r w:rsidRPr="00874348">
        <w:rPr>
          <w:rFonts w:eastAsia="Times New Roman"/>
          <w:lang w:val="fr-FR"/>
        </w:rPr>
        <w:t>b)  </w:t>
      </w:r>
      <w:r w:rsidR="00506071" w:rsidRPr="00874348">
        <w:rPr>
          <w:rFonts w:eastAsia="Times New Roman"/>
          <w:lang w:val="fr-FR"/>
        </w:rPr>
        <w:t>Requête n</w:t>
      </w:r>
      <w:r w:rsidR="00506071" w:rsidRPr="00874348">
        <w:rPr>
          <w:rFonts w:eastAsia="Times New Roman"/>
          <w:vertAlign w:val="superscript"/>
          <w:lang w:val="fr-FR"/>
        </w:rPr>
        <w:t>o</w:t>
      </w:r>
      <w:r w:rsidR="00506071" w:rsidRPr="00874348">
        <w:rPr>
          <w:rFonts w:eastAsia="Times New Roman"/>
          <w:lang w:val="fr-FR"/>
        </w:rPr>
        <w:t xml:space="preserve"> 68060/12 (n</w:t>
      </w:r>
      <w:r w:rsidR="00506071" w:rsidRPr="00874348">
        <w:rPr>
          <w:rFonts w:eastAsia="Times New Roman"/>
          <w:vertAlign w:val="superscript"/>
          <w:lang w:val="fr-FR"/>
        </w:rPr>
        <w:t>o</w:t>
      </w:r>
      <w:r w:rsidR="00506071" w:rsidRPr="00874348">
        <w:rPr>
          <w:rFonts w:eastAsia="Times New Roman"/>
          <w:lang w:val="fr-FR"/>
        </w:rPr>
        <w:t xml:space="preserve"> 1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117</w:t>
      </w:r>
      <w:r w:rsidRPr="00874348">
        <w:rPr>
          <w:rFonts w:eastAsia="Times New Roman"/>
          <w:lang w:val="fr-FR"/>
        </w:rPr>
        <w:fldChar w:fldCharType="end"/>
      </w:r>
      <w:r w:rsidRPr="00874348">
        <w:rPr>
          <w:rFonts w:eastAsia="Times New Roman"/>
          <w:lang w:val="fr-FR"/>
        </w:rPr>
        <w:t>.  Les requérants indiquent que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ne prévoit pas un remède de réparation effectif.</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118</w:t>
      </w:r>
      <w:r w:rsidRPr="00874348">
        <w:rPr>
          <w:rFonts w:eastAsia="Times New Roman"/>
          <w:lang w:val="fr-FR"/>
        </w:rPr>
        <w:fldChar w:fldCharType="end"/>
      </w:r>
      <w:r w:rsidRPr="00874348">
        <w:rPr>
          <w:rFonts w:eastAsia="Times New Roman"/>
          <w:lang w:val="fr-FR"/>
        </w:rPr>
        <w:t>.  L</w:t>
      </w:r>
      <w:r w:rsidR="00874348" w:rsidRPr="00874348">
        <w:rPr>
          <w:rFonts w:eastAsia="Times New Roman"/>
          <w:lang w:val="fr-FR"/>
        </w:rPr>
        <w:t>’</w:t>
      </w:r>
      <w:r w:rsidRPr="00874348">
        <w:rPr>
          <w:rFonts w:eastAsia="Times New Roman"/>
          <w:lang w:val="fr-FR"/>
        </w:rPr>
        <w:t>alinéa 1 de l</w:t>
      </w:r>
      <w:r w:rsidR="00874348" w:rsidRPr="00874348">
        <w:rPr>
          <w:rFonts w:eastAsia="Times New Roman"/>
          <w:lang w:val="fr-FR"/>
        </w:rPr>
        <w:t>’</w:t>
      </w:r>
      <w:r w:rsidRPr="00874348">
        <w:rPr>
          <w:rFonts w:eastAsia="Times New Roman"/>
          <w:lang w:val="fr-FR"/>
        </w:rPr>
        <w:t>article en cause prévoit en effet des conditions de recevabilités des demandes de règlement amiable. Le système ainsi prévu ne fait que repousser la date de l</w:t>
      </w:r>
      <w:r w:rsidR="00874348" w:rsidRPr="00874348">
        <w:rPr>
          <w:rFonts w:eastAsia="Times New Roman"/>
          <w:lang w:val="fr-FR"/>
        </w:rPr>
        <w:t>’</w:t>
      </w:r>
      <w:r w:rsidRPr="00874348">
        <w:rPr>
          <w:rFonts w:eastAsia="Times New Roman"/>
          <w:lang w:val="fr-FR"/>
        </w:rPr>
        <w:t>octroi de la somme à laquelle les requérants ont droit à titre de dédommagement. Les requérants remarquent en outre que, de toute manière, les demandes en dédommagement qu</w:t>
      </w:r>
      <w:r w:rsidR="00874348" w:rsidRPr="00874348">
        <w:rPr>
          <w:rFonts w:eastAsia="Times New Roman"/>
          <w:lang w:val="fr-FR"/>
        </w:rPr>
        <w:t>’</w:t>
      </w:r>
      <w:r w:rsidRPr="00874348">
        <w:rPr>
          <w:rFonts w:eastAsia="Times New Roman"/>
          <w:lang w:val="fr-FR"/>
        </w:rPr>
        <w:t>ils avaient introduites sur le plan interne avaient été rejetées car prescrites.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119</w:t>
      </w:r>
      <w:r w:rsidRPr="00874348">
        <w:rPr>
          <w:rFonts w:eastAsia="Times New Roman"/>
          <w:lang w:val="fr-FR"/>
        </w:rPr>
        <w:fldChar w:fldCharType="end"/>
      </w:r>
      <w:r w:rsidRPr="00874348">
        <w:rPr>
          <w:rFonts w:eastAsia="Times New Roman"/>
          <w:lang w:val="fr-FR"/>
        </w:rPr>
        <w:t>.  Le Gouvernement dispose en outre d</w:t>
      </w:r>
      <w:r w:rsidR="00874348" w:rsidRPr="00874348">
        <w:rPr>
          <w:rFonts w:eastAsia="Times New Roman"/>
          <w:lang w:val="fr-FR"/>
        </w:rPr>
        <w:t>’</w:t>
      </w:r>
      <w:r w:rsidRPr="00874348">
        <w:rPr>
          <w:rFonts w:eastAsia="Times New Roman"/>
          <w:lang w:val="fr-FR"/>
        </w:rPr>
        <w:t>une ample marge d</w:t>
      </w:r>
      <w:r w:rsidR="00874348" w:rsidRPr="00874348">
        <w:rPr>
          <w:rFonts w:eastAsia="Times New Roman"/>
          <w:lang w:val="fr-FR"/>
        </w:rPr>
        <w:t>’</w:t>
      </w:r>
      <w:r w:rsidRPr="00874348">
        <w:rPr>
          <w:rFonts w:eastAsia="Times New Roman"/>
          <w:lang w:val="fr-FR"/>
        </w:rPr>
        <w:t>appréciation en vue de l</w:t>
      </w:r>
      <w:r w:rsidR="00874348" w:rsidRPr="00874348">
        <w:rPr>
          <w:rFonts w:eastAsia="Times New Roman"/>
          <w:lang w:val="fr-FR"/>
        </w:rPr>
        <w:t>’</w:t>
      </w:r>
      <w:r w:rsidRPr="00874348">
        <w:rPr>
          <w:rFonts w:eastAsia="Times New Roman"/>
          <w:lang w:val="fr-FR"/>
        </w:rPr>
        <w:t>octroi des sommes litigieuses car celles-ci sont limitées par la disponibilité du budget annuel. De plus, le Gouvernement n</w:t>
      </w:r>
      <w:r w:rsidR="00874348" w:rsidRPr="00874348">
        <w:rPr>
          <w:rFonts w:eastAsia="Times New Roman"/>
          <w:lang w:val="fr-FR"/>
        </w:rPr>
        <w:t>’</w:t>
      </w:r>
      <w:r w:rsidRPr="00874348">
        <w:rPr>
          <w:rFonts w:eastAsia="Times New Roman"/>
          <w:lang w:val="fr-FR"/>
        </w:rPr>
        <w:t>a pas démontré l</w:t>
      </w:r>
      <w:r w:rsidR="00874348" w:rsidRPr="00874348">
        <w:rPr>
          <w:rFonts w:eastAsia="Times New Roman"/>
          <w:lang w:val="fr-FR"/>
        </w:rPr>
        <w:t>’</w:t>
      </w:r>
      <w:r w:rsidRPr="00874348">
        <w:rPr>
          <w:rFonts w:eastAsia="Times New Roman"/>
          <w:lang w:val="fr-FR"/>
        </w:rPr>
        <w:t>efficacité d</w:t>
      </w:r>
      <w:r w:rsidR="00874348" w:rsidRPr="00874348">
        <w:rPr>
          <w:rFonts w:eastAsia="Times New Roman"/>
          <w:lang w:val="fr-FR"/>
        </w:rPr>
        <w:t>’</w:t>
      </w:r>
      <w:r w:rsidRPr="00874348">
        <w:rPr>
          <w:rFonts w:eastAsia="Times New Roman"/>
          <w:lang w:val="fr-FR"/>
        </w:rPr>
        <w:t>un tel système.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120</w:t>
      </w:r>
      <w:r w:rsidRPr="00874348">
        <w:rPr>
          <w:rFonts w:eastAsia="Times New Roman"/>
          <w:lang w:val="fr-FR"/>
        </w:rPr>
        <w:fldChar w:fldCharType="end"/>
      </w:r>
      <w:r w:rsidRPr="00874348">
        <w:rPr>
          <w:rFonts w:eastAsia="Times New Roman"/>
          <w:lang w:val="fr-FR"/>
        </w:rPr>
        <w:t>.  Les requérants réitèrent enfin leurs griefs (paragraphes 96, 99, 100 et 101 ci-dessus).</w:t>
      </w:r>
    </w:p>
    <w:p w:rsidR="00506071" w:rsidRPr="00874348" w:rsidRDefault="00506071" w:rsidP="00874348">
      <w:pPr>
        <w:pStyle w:val="ECHRHeading4"/>
        <w:rPr>
          <w:rFonts w:eastAsia="Times New Roman"/>
          <w:lang w:val="fr-FR"/>
        </w:rPr>
      </w:pPr>
      <w:r w:rsidRPr="00874348">
        <w:rPr>
          <w:rFonts w:eastAsia="Times New Roman"/>
          <w:lang w:val="fr-FR"/>
        </w:rPr>
        <w:t>c)  Requêtes n</w:t>
      </w:r>
      <w:r w:rsidRPr="00874348">
        <w:rPr>
          <w:rFonts w:eastAsia="Times New Roman"/>
          <w:vertAlign w:val="superscript"/>
          <w:lang w:val="fr-FR"/>
        </w:rPr>
        <w:t>os</w:t>
      </w:r>
      <w:r w:rsidRPr="00874348">
        <w:rPr>
          <w:rFonts w:eastAsia="Times New Roman"/>
          <w:lang w:val="fr-FR"/>
        </w:rPr>
        <w:t xml:space="preserve"> 16178/13, 23130/13 et 23149/13 (n</w:t>
      </w:r>
      <w:r w:rsidRPr="00874348">
        <w:rPr>
          <w:rFonts w:eastAsia="Times New Roman"/>
          <w:vertAlign w:val="superscript"/>
          <w:lang w:val="fr-FR"/>
        </w:rPr>
        <w:t>o</w:t>
      </w:r>
      <w:r w:rsidRPr="00874348">
        <w:rPr>
          <w:rFonts w:eastAsia="Times New Roman"/>
          <w:lang w:val="fr-FR"/>
        </w:rPr>
        <w:t xml:space="preserve"> 2 à 4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121</w:t>
      </w:r>
      <w:r w:rsidRPr="00874348">
        <w:rPr>
          <w:rFonts w:eastAsia="Times New Roman"/>
          <w:lang w:val="fr-FR"/>
        </w:rPr>
        <w:fldChar w:fldCharType="end"/>
      </w:r>
      <w:r w:rsidRPr="00874348">
        <w:rPr>
          <w:rFonts w:eastAsia="Times New Roman"/>
          <w:lang w:val="fr-FR"/>
        </w:rPr>
        <w:t>.  Les requérants observent que le système mis en place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n</w:t>
      </w:r>
      <w:r w:rsidR="00874348" w:rsidRPr="00874348">
        <w:rPr>
          <w:rFonts w:eastAsia="Times New Roman"/>
          <w:lang w:val="fr-FR"/>
        </w:rPr>
        <w:t>’</w:t>
      </w:r>
      <w:r w:rsidRPr="00874348">
        <w:rPr>
          <w:rFonts w:eastAsia="Times New Roman"/>
          <w:lang w:val="fr-FR"/>
        </w:rPr>
        <w:t>est pas de nature à remédier aux doléances qu</w:t>
      </w:r>
      <w:r w:rsidR="00874348" w:rsidRPr="00874348">
        <w:rPr>
          <w:rFonts w:eastAsia="Times New Roman"/>
          <w:lang w:val="fr-FR"/>
        </w:rPr>
        <w:t>’</w:t>
      </w:r>
      <w:r w:rsidRPr="00874348">
        <w:rPr>
          <w:rFonts w:eastAsia="Times New Roman"/>
          <w:lang w:val="fr-FR"/>
        </w:rPr>
        <w:t>ils soulèvent devant la Cour et qu</w:t>
      </w:r>
      <w:r w:rsidR="00874348" w:rsidRPr="00874348">
        <w:rPr>
          <w:rFonts w:eastAsia="Times New Roman"/>
          <w:lang w:val="fr-FR"/>
        </w:rPr>
        <w:t>’</w:t>
      </w:r>
      <w:r w:rsidRPr="00874348">
        <w:rPr>
          <w:rFonts w:eastAsia="Times New Roman"/>
          <w:lang w:val="fr-FR"/>
        </w:rPr>
        <w:t>aucune somme ne leur est reconnue au titre de frais et dépens.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122</w:t>
      </w:r>
      <w:r w:rsidRPr="00874348">
        <w:rPr>
          <w:rFonts w:eastAsia="Times New Roman"/>
          <w:lang w:val="fr-FR"/>
        </w:rPr>
        <w:fldChar w:fldCharType="end"/>
      </w:r>
      <w:r w:rsidRPr="00874348">
        <w:rPr>
          <w:rFonts w:eastAsia="Times New Roman"/>
          <w:lang w:val="fr-FR"/>
        </w:rPr>
        <w:t>.  Par ailleurs, cet article entraverait leur droit à l</w:t>
      </w:r>
      <w:r w:rsidR="00874348" w:rsidRPr="00874348">
        <w:rPr>
          <w:rFonts w:eastAsia="Times New Roman"/>
          <w:lang w:val="fr-FR"/>
        </w:rPr>
        <w:t>’</w:t>
      </w:r>
      <w:r w:rsidRPr="00874348">
        <w:rPr>
          <w:rFonts w:eastAsia="Times New Roman"/>
          <w:lang w:val="fr-FR"/>
        </w:rPr>
        <w:t>exercice effectif d</w:t>
      </w:r>
      <w:r w:rsidR="00874348" w:rsidRPr="00874348">
        <w:rPr>
          <w:rFonts w:eastAsia="Times New Roman"/>
          <w:lang w:val="fr-FR"/>
        </w:rPr>
        <w:t>’</w:t>
      </w:r>
      <w:r w:rsidRPr="00874348">
        <w:rPr>
          <w:rFonts w:eastAsia="Times New Roman"/>
          <w:lang w:val="fr-FR"/>
        </w:rPr>
        <w:t>un recours individuel au sens de l</w:t>
      </w:r>
      <w:r w:rsidR="00874348" w:rsidRPr="00874348">
        <w:rPr>
          <w:rFonts w:eastAsia="Times New Roman"/>
          <w:lang w:val="fr-FR"/>
        </w:rPr>
        <w:t>’</w:t>
      </w:r>
      <w:r w:rsidRPr="00874348">
        <w:rPr>
          <w:rFonts w:eastAsia="Times New Roman"/>
          <w:lang w:val="fr-FR"/>
        </w:rPr>
        <w:t>article 34 de la Convention car, en acceptant la nouvelle procédure, ils s</w:t>
      </w:r>
      <w:r w:rsidR="00874348" w:rsidRPr="00874348">
        <w:rPr>
          <w:rFonts w:eastAsia="Times New Roman"/>
          <w:lang w:val="fr-FR"/>
        </w:rPr>
        <w:t>’</w:t>
      </w:r>
      <w:r w:rsidRPr="00874348">
        <w:rPr>
          <w:rFonts w:eastAsia="Times New Roman"/>
          <w:lang w:val="fr-FR"/>
        </w:rPr>
        <w:t>engageraient à renoncer à tout recours devant les instances internes et internationales, sans avoir de garanties par rapport à l</w:t>
      </w:r>
      <w:r w:rsidR="00874348" w:rsidRPr="00874348">
        <w:rPr>
          <w:rFonts w:eastAsia="Times New Roman"/>
          <w:lang w:val="fr-FR"/>
        </w:rPr>
        <w:t>’</w:t>
      </w:r>
      <w:r w:rsidRPr="00874348">
        <w:rPr>
          <w:rFonts w:eastAsia="Times New Roman"/>
          <w:lang w:val="fr-FR"/>
        </w:rPr>
        <w:t>issue de leur demande.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123</w:t>
      </w:r>
      <w:r w:rsidRPr="00874348">
        <w:rPr>
          <w:rFonts w:eastAsia="Times New Roman"/>
          <w:lang w:val="fr-FR"/>
        </w:rPr>
        <w:fldChar w:fldCharType="end"/>
      </w:r>
      <w:r w:rsidRPr="00874348">
        <w:rPr>
          <w:rFonts w:eastAsia="Times New Roman"/>
          <w:lang w:val="fr-FR"/>
        </w:rPr>
        <w:t>.  En outre, ils devraient attendre jusqu</w:t>
      </w:r>
      <w:r w:rsidR="00874348" w:rsidRPr="00874348">
        <w:rPr>
          <w:rFonts w:eastAsia="Times New Roman"/>
          <w:lang w:val="fr-FR"/>
        </w:rPr>
        <w:t>’</w:t>
      </w:r>
      <w:r w:rsidRPr="00874348">
        <w:rPr>
          <w:rFonts w:eastAsia="Times New Roman"/>
          <w:lang w:val="fr-FR"/>
        </w:rPr>
        <w:t>au 31 décembre 2017 avant d</w:t>
      </w:r>
      <w:r w:rsidR="00874348" w:rsidRPr="00874348">
        <w:rPr>
          <w:rFonts w:eastAsia="Times New Roman"/>
          <w:lang w:val="fr-FR"/>
        </w:rPr>
        <w:t>’</w:t>
      </w:r>
      <w:r w:rsidRPr="00874348">
        <w:rPr>
          <w:rFonts w:eastAsia="Times New Roman"/>
          <w:lang w:val="fr-FR"/>
        </w:rPr>
        <w:t>obtenir la somme qui leur serait reconnue.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124</w:t>
      </w:r>
      <w:r w:rsidRPr="00874348">
        <w:rPr>
          <w:rFonts w:eastAsia="Times New Roman"/>
          <w:lang w:val="fr-FR"/>
        </w:rPr>
        <w:fldChar w:fldCharType="end"/>
      </w:r>
      <w:r w:rsidRPr="00874348">
        <w:rPr>
          <w:rFonts w:eastAsia="Times New Roman"/>
          <w:lang w:val="fr-FR"/>
        </w:rPr>
        <w:t>.  De plus, en acceptant le remède mis en place par le Gouvernement, des situations différentes seraient traitées de la même manière, ainsi entraînant une méconnaissance du principe de non-discrimination.</w:t>
      </w:r>
    </w:p>
    <w:p w:rsidR="00506071" w:rsidRPr="00874348" w:rsidRDefault="00506071" w:rsidP="00874348">
      <w:pPr>
        <w:pStyle w:val="ECHRPara"/>
        <w:rPr>
          <w:rFonts w:eastAsia="Times New Roman"/>
          <w:lang w:val="fr-FR"/>
        </w:rPr>
      </w:pPr>
      <w:r w:rsidRPr="00874348">
        <w:rPr>
          <w:rFonts w:eastAsia="Times New Roman" w:cs="Calibri"/>
          <w:lang w:val="fr-FR"/>
        </w:rPr>
        <w:lastRenderedPageBreak/>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125</w:t>
      </w:r>
      <w:r w:rsidRPr="00874348">
        <w:rPr>
          <w:rFonts w:eastAsia="Times New Roman" w:cs="Calibri"/>
          <w:lang w:val="fr-FR"/>
        </w:rPr>
        <w:fldChar w:fldCharType="end"/>
      </w:r>
      <w:r w:rsidRPr="00874348">
        <w:rPr>
          <w:rFonts w:eastAsia="Times New Roman" w:cs="Calibri"/>
          <w:lang w:val="fr-FR"/>
        </w:rPr>
        <w:t xml:space="preserve">.  Les requérants de la requête </w:t>
      </w:r>
      <w:r w:rsidRPr="00874348">
        <w:rPr>
          <w:rFonts w:eastAsia="Times New Roman"/>
          <w:lang w:val="fr-FR"/>
        </w:rPr>
        <w:t>n</w:t>
      </w:r>
      <w:r w:rsidRPr="00874348">
        <w:rPr>
          <w:rFonts w:eastAsia="Times New Roman"/>
          <w:vertAlign w:val="superscript"/>
          <w:lang w:val="fr-FR"/>
        </w:rPr>
        <w:t>o</w:t>
      </w:r>
      <w:r w:rsidRPr="00874348">
        <w:rPr>
          <w:rFonts w:eastAsia="Times New Roman"/>
          <w:lang w:val="fr-FR"/>
        </w:rPr>
        <w:t xml:space="preserve"> 16178/13, </w:t>
      </w:r>
      <w:r w:rsidRPr="00874348">
        <w:rPr>
          <w:rFonts w:eastAsia="Times New Roman" w:cs="Calibri"/>
          <w:lang w:val="fr-FR"/>
        </w:rPr>
        <w:t>indiqués aux n</w:t>
      </w:r>
      <w:r w:rsidRPr="00874348">
        <w:rPr>
          <w:rFonts w:eastAsia="Times New Roman" w:cs="Calibri"/>
          <w:vertAlign w:val="superscript"/>
          <w:lang w:val="fr-FR"/>
        </w:rPr>
        <w:t>os</w:t>
      </w:r>
      <w:r w:rsidRPr="00874348">
        <w:rPr>
          <w:rFonts w:eastAsia="Times New Roman" w:cs="Calibri"/>
          <w:lang w:val="fr-FR"/>
        </w:rPr>
        <w:t xml:space="preserve"> 19, 49, 50, 51, 64 et 65 dans la liste B en annexe, ont en tout cas indiqué par la suite avoir accédé au remède prévu par le décret-loi n</w:t>
      </w:r>
      <w:r w:rsidRPr="00874348">
        <w:rPr>
          <w:rFonts w:eastAsia="Times New Roman" w:cs="Calibri"/>
          <w:vertAlign w:val="superscript"/>
          <w:lang w:val="fr-FR"/>
        </w:rPr>
        <w:t>o</w:t>
      </w:r>
      <w:r w:rsidRPr="00874348">
        <w:rPr>
          <w:rFonts w:eastAsia="Times New Roman" w:cs="Calibri"/>
          <w:lang w:val="fr-FR"/>
        </w:rPr>
        <w:t xml:space="preserve"> 90/2014</w:t>
      </w:r>
      <w:r w:rsidRPr="00874348">
        <w:rPr>
          <w:rFonts w:eastAsia="Times New Roman"/>
          <w:lang w:val="fr-FR"/>
        </w:rPr>
        <w: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126</w:t>
      </w:r>
      <w:r w:rsidRPr="00874348">
        <w:rPr>
          <w:rFonts w:eastAsia="Times New Roman"/>
          <w:lang w:val="fr-FR"/>
        </w:rPr>
        <w:fldChar w:fldCharType="end"/>
      </w:r>
      <w:r w:rsidRPr="00874348">
        <w:rPr>
          <w:rFonts w:eastAsia="Times New Roman"/>
          <w:lang w:val="fr-FR"/>
        </w:rPr>
        <w:t>.  Les requérants réitèrent enfin leurs griefs (paragraphes 96, 99, 100 et 101 ci-dessus).</w:t>
      </w:r>
    </w:p>
    <w:p w:rsidR="00506071" w:rsidRPr="00874348" w:rsidRDefault="00506071" w:rsidP="00874348">
      <w:pPr>
        <w:pStyle w:val="ECHRHeading4"/>
        <w:rPr>
          <w:rFonts w:eastAsia="Times New Roman"/>
          <w:lang w:val="fr-FR"/>
        </w:rPr>
      </w:pPr>
      <w:r w:rsidRPr="00874348">
        <w:rPr>
          <w:rFonts w:eastAsia="Times New Roman"/>
          <w:lang w:val="fr-FR"/>
        </w:rPr>
        <w:t xml:space="preserve">d)  Requêtes </w:t>
      </w:r>
      <w:r w:rsidRPr="00874348">
        <w:rPr>
          <w:rFonts w:eastAsia="Times New Roman" w:cs="Calibri"/>
          <w:lang w:val="fr-FR"/>
        </w:rPr>
        <w:t xml:space="preserve">indiquées aux </w:t>
      </w:r>
      <w:r w:rsidRPr="00874348">
        <w:rPr>
          <w:rFonts w:eastAsia="Times New Roman"/>
          <w:lang w:val="fr-FR"/>
        </w:rPr>
        <w:t>n</w:t>
      </w:r>
      <w:r w:rsidRPr="00874348">
        <w:rPr>
          <w:rFonts w:eastAsia="Times New Roman"/>
          <w:vertAlign w:val="superscript"/>
          <w:lang w:val="fr-FR"/>
        </w:rPr>
        <w:t>os</w:t>
      </w:r>
      <w:r w:rsidRPr="00874348">
        <w:rPr>
          <w:rFonts w:eastAsia="Times New Roman"/>
          <w:lang w:val="fr-FR"/>
        </w:rPr>
        <w:t xml:space="preserve"> 5 à 15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127</w:t>
      </w:r>
      <w:r w:rsidRPr="00874348">
        <w:rPr>
          <w:rFonts w:eastAsia="Times New Roman"/>
          <w:lang w:val="fr-FR"/>
        </w:rPr>
        <w:fldChar w:fldCharType="end"/>
      </w:r>
      <w:r w:rsidRPr="00874348">
        <w:rPr>
          <w:rFonts w:eastAsia="Times New Roman"/>
          <w:lang w:val="fr-FR"/>
        </w:rPr>
        <w:t>.  Les requérants soulignent que le payement des sommes prévues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est limité aux ressources financières disponibles. L</w:t>
      </w:r>
      <w:r w:rsidR="00874348" w:rsidRPr="00874348">
        <w:rPr>
          <w:rFonts w:eastAsia="Times New Roman"/>
          <w:lang w:val="fr-FR"/>
        </w:rPr>
        <w:t>’</w:t>
      </w:r>
      <w:r w:rsidRPr="00874348">
        <w:rPr>
          <w:rFonts w:eastAsia="Times New Roman"/>
          <w:lang w:val="fr-FR"/>
        </w:rPr>
        <w:t>issue de ce remède est donc incertaine. De plus, la loi prévoit une même indemnisation pour toutes les personnes infectées sans distinguer les différentes catégories de personnes touchées et le dommage qu</w:t>
      </w:r>
      <w:r w:rsidR="00874348" w:rsidRPr="00874348">
        <w:rPr>
          <w:rFonts w:eastAsia="Times New Roman"/>
          <w:lang w:val="fr-FR"/>
        </w:rPr>
        <w:t>’</w:t>
      </w:r>
      <w:r w:rsidRPr="00874348">
        <w:rPr>
          <w:rFonts w:eastAsia="Times New Roman"/>
          <w:lang w:val="fr-FR"/>
        </w:rPr>
        <w:t>elles ont subis.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128</w:t>
      </w:r>
      <w:r w:rsidRPr="00874348">
        <w:rPr>
          <w:rFonts w:eastAsia="Times New Roman"/>
          <w:lang w:val="fr-FR"/>
        </w:rPr>
        <w:fldChar w:fldCharType="end"/>
      </w:r>
      <w:r w:rsidRPr="00874348">
        <w:rPr>
          <w:rFonts w:eastAsia="Times New Roman"/>
          <w:lang w:val="fr-FR"/>
        </w:rPr>
        <w:t>.  Les requérants réitèrent leurs griefs (paragraphes 96, 99, 100 et 101 ci-dessus).</w:t>
      </w:r>
    </w:p>
    <w:p w:rsidR="00506071" w:rsidRPr="00874348" w:rsidRDefault="00213F5D" w:rsidP="00874348">
      <w:pPr>
        <w:pStyle w:val="ECHRHeading4"/>
        <w:rPr>
          <w:rFonts w:eastAsia="Times New Roman"/>
          <w:lang w:val="fr-FR"/>
        </w:rPr>
      </w:pPr>
      <w:r w:rsidRPr="00874348">
        <w:rPr>
          <w:rFonts w:eastAsia="Times New Roman"/>
          <w:lang w:val="fr-FR"/>
        </w:rPr>
        <w:t>e</w:t>
      </w:r>
      <w:r w:rsidR="00506071" w:rsidRPr="00874348">
        <w:rPr>
          <w:rFonts w:eastAsia="Times New Roman"/>
          <w:lang w:val="fr-FR"/>
        </w:rPr>
        <w:t>)  Requête n</w:t>
      </w:r>
      <w:r w:rsidR="00506071" w:rsidRPr="00874348">
        <w:rPr>
          <w:rFonts w:eastAsia="Times New Roman"/>
          <w:vertAlign w:val="superscript"/>
          <w:lang w:val="fr-FR"/>
        </w:rPr>
        <w:t>o</w:t>
      </w:r>
      <w:r w:rsidR="00506071" w:rsidRPr="00874348">
        <w:rPr>
          <w:rFonts w:eastAsia="Times New Roman"/>
          <w:lang w:val="fr-FR"/>
        </w:rPr>
        <w:t xml:space="preserve"> 158/12 (n</w:t>
      </w:r>
      <w:r w:rsidR="00506071" w:rsidRPr="00874348">
        <w:rPr>
          <w:rFonts w:eastAsia="Times New Roman"/>
          <w:vertAlign w:val="superscript"/>
          <w:lang w:val="fr-FR"/>
        </w:rPr>
        <w:t>o</w:t>
      </w:r>
      <w:r w:rsidR="00506071" w:rsidRPr="00874348">
        <w:rPr>
          <w:rFonts w:eastAsia="Times New Roman"/>
          <w:lang w:val="fr-FR"/>
        </w:rPr>
        <w:t xml:space="preserve"> 16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129</w:t>
      </w:r>
      <w:r w:rsidRPr="00874348">
        <w:rPr>
          <w:rFonts w:eastAsia="Times New Roman"/>
          <w:lang w:val="fr-FR"/>
        </w:rPr>
        <w:fldChar w:fldCharType="end"/>
      </w:r>
      <w:r w:rsidRPr="00874348">
        <w:rPr>
          <w:rFonts w:eastAsia="Times New Roman"/>
          <w:lang w:val="fr-FR"/>
        </w:rPr>
        <w:t>.  Dans leurs observations présentées avant l</w:t>
      </w:r>
      <w:r w:rsidR="00874348" w:rsidRPr="00874348">
        <w:rPr>
          <w:rFonts w:eastAsia="Times New Roman"/>
          <w:lang w:val="fr-FR"/>
        </w:rPr>
        <w:t>’</w:t>
      </w:r>
      <w:r w:rsidRPr="00874348">
        <w:rPr>
          <w:rFonts w:eastAsia="Times New Roman"/>
          <w:lang w:val="fr-FR"/>
        </w:rPr>
        <w:t>adoption de l</w:t>
      </w:r>
      <w:r w:rsidR="00874348" w:rsidRPr="00874348">
        <w:rPr>
          <w:rFonts w:eastAsia="Times New Roman"/>
          <w:lang w:val="fr-FR"/>
        </w:rPr>
        <w:t>’</w:t>
      </w:r>
      <w:r w:rsidR="00313171" w:rsidRPr="00874348">
        <w:rPr>
          <w:rFonts w:eastAsia="Times New Roman"/>
          <w:lang w:val="fr-FR"/>
        </w:rPr>
        <w:t>article 27</w:t>
      </w:r>
      <w:r w:rsidR="00313171" w:rsidRPr="00874348">
        <w:rPr>
          <w:rFonts w:eastAsia="Times New Roman"/>
          <w:lang w:val="fr-FR"/>
        </w:rPr>
        <w:noBreakHyphen/>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 les requérants faisaient valoir que la </w:t>
      </w:r>
      <w:r w:rsidRPr="00874348">
        <w:rPr>
          <w:rFonts w:eastAsia="Times New Roman"/>
          <w:i/>
          <w:lang w:val="fr-FR"/>
        </w:rPr>
        <w:t>class action</w:t>
      </w:r>
      <w:r w:rsidRPr="00874348">
        <w:rPr>
          <w:rFonts w:eastAsia="Times New Roman"/>
          <w:lang w:val="fr-FR"/>
        </w:rPr>
        <w:t>, indiquée par le Gouvernement comme étant un remède à épuiser en l</w:t>
      </w:r>
      <w:r w:rsidR="00874348" w:rsidRPr="00874348">
        <w:rPr>
          <w:rFonts w:eastAsia="Times New Roman"/>
          <w:lang w:val="fr-FR"/>
        </w:rPr>
        <w:t>’</w:t>
      </w:r>
      <w:r w:rsidRPr="00874348">
        <w:rPr>
          <w:rFonts w:eastAsia="Times New Roman"/>
          <w:lang w:val="fr-FR"/>
        </w:rPr>
        <w:t>espèce, serait dépourvue de toute efficacité.</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130</w:t>
      </w:r>
      <w:r w:rsidRPr="00874348">
        <w:rPr>
          <w:rFonts w:eastAsia="Times New Roman"/>
          <w:lang w:val="fr-FR"/>
        </w:rPr>
        <w:fldChar w:fldCharType="end"/>
      </w:r>
      <w:r w:rsidRPr="00874348">
        <w:rPr>
          <w:rFonts w:eastAsia="Times New Roman"/>
          <w:lang w:val="fr-FR"/>
        </w:rPr>
        <w:t>.  À la suite de l</w:t>
      </w:r>
      <w:r w:rsidR="00874348" w:rsidRPr="00874348">
        <w:rPr>
          <w:rFonts w:eastAsia="Times New Roman"/>
          <w:lang w:val="fr-FR"/>
        </w:rPr>
        <w:t>’</w:t>
      </w:r>
      <w:r w:rsidRPr="00874348">
        <w:rPr>
          <w:rFonts w:eastAsia="Times New Roman"/>
          <w:lang w:val="fr-FR"/>
        </w:rPr>
        <w:t>adoption du décret-loi n</w:t>
      </w:r>
      <w:r w:rsidRPr="00874348">
        <w:rPr>
          <w:rFonts w:eastAsia="Times New Roman"/>
          <w:vertAlign w:val="superscript"/>
          <w:lang w:val="fr-FR"/>
        </w:rPr>
        <w:t>o</w:t>
      </w:r>
      <w:r w:rsidRPr="00874348">
        <w:rPr>
          <w:rFonts w:eastAsia="Times New Roman"/>
          <w:lang w:val="fr-FR"/>
        </w:rPr>
        <w:t xml:space="preserve"> 90/2014, treize requérants (indiqués aux numéros 1, 2, 8, 21, 26, 30, 31, 33, 42, 43, 48, 53, et 77 dans la liste B en annexe) ont utilisé la voie ouverte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et ont partant renoncé à leurs requêtes, n</w:t>
      </w:r>
      <w:r w:rsidR="00874348" w:rsidRPr="00874348">
        <w:rPr>
          <w:rFonts w:eastAsia="Times New Roman"/>
          <w:lang w:val="fr-FR"/>
        </w:rPr>
        <w:t>’</w:t>
      </w:r>
      <w:r w:rsidRPr="00874348">
        <w:rPr>
          <w:rFonts w:eastAsia="Times New Roman"/>
          <w:lang w:val="fr-FR"/>
        </w:rPr>
        <w:t>ayant plus intérêt au maintien de celles-ci.</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131</w:t>
      </w:r>
      <w:r w:rsidRPr="00874348">
        <w:rPr>
          <w:rFonts w:eastAsia="Times New Roman"/>
          <w:lang w:val="fr-FR"/>
        </w:rPr>
        <w:fldChar w:fldCharType="end"/>
      </w:r>
      <w:r w:rsidRPr="00874348">
        <w:rPr>
          <w:rFonts w:eastAsia="Times New Roman"/>
          <w:lang w:val="fr-FR"/>
        </w:rPr>
        <w:t>.  Enfin, selon les informations fournies par les requérants le 10 novembre 2015, le requérant dont le nom est indiqué au n</w:t>
      </w:r>
      <w:r w:rsidRPr="00874348">
        <w:rPr>
          <w:rFonts w:eastAsia="Times New Roman"/>
          <w:vertAlign w:val="superscript"/>
          <w:lang w:val="fr-FR"/>
        </w:rPr>
        <w:t>o</w:t>
      </w:r>
      <w:r w:rsidRPr="00874348">
        <w:rPr>
          <w:rFonts w:eastAsia="Times New Roman"/>
          <w:lang w:val="fr-FR"/>
        </w:rPr>
        <w:t> 32 de la requête n</w:t>
      </w:r>
      <w:r w:rsidRPr="00874348">
        <w:rPr>
          <w:rFonts w:eastAsia="Times New Roman"/>
          <w:vertAlign w:val="superscript"/>
          <w:lang w:val="fr-FR"/>
        </w:rPr>
        <w:t>o</w:t>
      </w:r>
      <w:r w:rsidRPr="00874348">
        <w:rPr>
          <w:rFonts w:eastAsia="Times New Roman"/>
          <w:lang w:val="fr-FR"/>
        </w:rPr>
        <w:t xml:space="preserve"> 158/12 est décédé le 30 juillet 2014.</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132</w:t>
      </w:r>
      <w:r w:rsidRPr="00874348">
        <w:rPr>
          <w:rFonts w:eastAsia="Times New Roman"/>
          <w:lang w:val="fr-FR"/>
        </w:rPr>
        <w:fldChar w:fldCharType="end"/>
      </w:r>
      <w:r w:rsidRPr="00874348">
        <w:rPr>
          <w:rFonts w:eastAsia="Times New Roman"/>
          <w:lang w:val="fr-FR"/>
        </w:rPr>
        <w:t>.  Les requérants restants réitèrent leur</w:t>
      </w:r>
      <w:r w:rsidR="00313171" w:rsidRPr="00874348">
        <w:rPr>
          <w:rFonts w:eastAsia="Times New Roman"/>
          <w:lang w:val="fr-FR"/>
        </w:rPr>
        <w:t>s griefs (paragraphes 95, 97 et </w:t>
      </w:r>
      <w:r w:rsidRPr="00874348">
        <w:rPr>
          <w:rFonts w:eastAsia="Times New Roman"/>
          <w:lang w:val="fr-FR"/>
        </w:rPr>
        <w:t>98 ci-dessus).</w:t>
      </w:r>
    </w:p>
    <w:p w:rsidR="00506071" w:rsidRPr="00874348" w:rsidRDefault="00213F5D" w:rsidP="00874348">
      <w:pPr>
        <w:pStyle w:val="ECHRHeading4"/>
        <w:rPr>
          <w:rFonts w:eastAsia="Times New Roman"/>
          <w:lang w:val="fr-FR"/>
        </w:rPr>
      </w:pPr>
      <w:r w:rsidRPr="00874348">
        <w:rPr>
          <w:rFonts w:eastAsia="Times New Roman"/>
          <w:lang w:val="fr-FR"/>
        </w:rPr>
        <w:t>f</w:t>
      </w:r>
      <w:r w:rsidR="00506071" w:rsidRPr="00874348">
        <w:rPr>
          <w:rFonts w:eastAsia="Times New Roman"/>
          <w:lang w:val="fr-FR"/>
        </w:rPr>
        <w:t>)  Requête n</w:t>
      </w:r>
      <w:r w:rsidR="00506071" w:rsidRPr="00874348">
        <w:rPr>
          <w:rFonts w:eastAsia="Times New Roman"/>
          <w:vertAlign w:val="superscript"/>
          <w:lang w:val="fr-FR"/>
        </w:rPr>
        <w:t>o</w:t>
      </w:r>
      <w:r w:rsidR="00506071" w:rsidRPr="00874348">
        <w:rPr>
          <w:rFonts w:eastAsia="Times New Roman"/>
          <w:lang w:val="fr-FR"/>
        </w:rPr>
        <w:t xml:space="preserve"> 3892/12 (n</w:t>
      </w:r>
      <w:r w:rsidR="00506071" w:rsidRPr="00874348">
        <w:rPr>
          <w:rFonts w:eastAsia="Times New Roman"/>
          <w:vertAlign w:val="superscript"/>
          <w:lang w:val="fr-FR"/>
        </w:rPr>
        <w:t>o</w:t>
      </w:r>
      <w:r w:rsidR="00506071" w:rsidRPr="00874348">
        <w:rPr>
          <w:rFonts w:eastAsia="Times New Roman"/>
          <w:lang w:val="fr-FR"/>
        </w:rPr>
        <w:t xml:space="preserve"> 17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133</w:t>
      </w:r>
      <w:r w:rsidRPr="00874348">
        <w:rPr>
          <w:rFonts w:eastAsia="Times New Roman"/>
          <w:lang w:val="fr-FR"/>
        </w:rPr>
        <w:fldChar w:fldCharType="end"/>
      </w:r>
      <w:r w:rsidRPr="00874348">
        <w:rPr>
          <w:rFonts w:eastAsia="Times New Roman"/>
          <w:lang w:val="fr-FR"/>
        </w:rPr>
        <w:t>.  Dans leurs observations présentées avant l</w:t>
      </w:r>
      <w:r w:rsidR="00874348" w:rsidRPr="00874348">
        <w:rPr>
          <w:rFonts w:eastAsia="Times New Roman"/>
          <w:lang w:val="fr-FR"/>
        </w:rPr>
        <w:t>’</w:t>
      </w:r>
      <w:r w:rsidRPr="00874348">
        <w:rPr>
          <w:rFonts w:eastAsia="Times New Roman"/>
          <w:lang w:val="fr-FR"/>
        </w:rPr>
        <w:t>adoption de l</w:t>
      </w:r>
      <w:r w:rsidR="00874348" w:rsidRPr="00874348">
        <w:rPr>
          <w:rFonts w:eastAsia="Times New Roman"/>
          <w:lang w:val="fr-FR"/>
        </w:rPr>
        <w:t>’</w:t>
      </w:r>
      <w:r w:rsidR="00313171" w:rsidRPr="00874348">
        <w:rPr>
          <w:rFonts w:eastAsia="Times New Roman"/>
          <w:lang w:val="fr-FR"/>
        </w:rPr>
        <w:t>article 27</w:t>
      </w:r>
      <w:r w:rsidR="00313171" w:rsidRPr="00874348">
        <w:rPr>
          <w:rFonts w:eastAsia="Times New Roman"/>
          <w:lang w:val="fr-FR"/>
        </w:rPr>
        <w:noBreakHyphen/>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 les requérants indiquaient ne disposer d</w:t>
      </w:r>
      <w:r w:rsidR="00874348" w:rsidRPr="00874348">
        <w:rPr>
          <w:rFonts w:eastAsia="Times New Roman"/>
          <w:lang w:val="fr-FR"/>
        </w:rPr>
        <w:t>’</w:t>
      </w:r>
      <w:r w:rsidRPr="00874348">
        <w:rPr>
          <w:rFonts w:eastAsia="Times New Roman"/>
          <w:lang w:val="fr-FR"/>
        </w:rPr>
        <w:t>aucun recours effectif pour se plaindre des doléances soulevées devant la Cour.</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134</w:t>
      </w:r>
      <w:r w:rsidRPr="00874348">
        <w:rPr>
          <w:rFonts w:eastAsia="Times New Roman"/>
          <w:lang w:val="fr-FR"/>
        </w:rPr>
        <w:fldChar w:fldCharType="end"/>
      </w:r>
      <w:r w:rsidRPr="00874348">
        <w:rPr>
          <w:rFonts w:eastAsia="Times New Roman"/>
          <w:lang w:val="fr-FR"/>
        </w:rPr>
        <w:t>.  À la suite de l</w:t>
      </w:r>
      <w:r w:rsidR="00874348" w:rsidRPr="00874348">
        <w:rPr>
          <w:rFonts w:eastAsia="Times New Roman"/>
          <w:lang w:val="fr-FR"/>
        </w:rPr>
        <w:t>’</w:t>
      </w:r>
      <w:r w:rsidRPr="00874348">
        <w:rPr>
          <w:rFonts w:eastAsia="Times New Roman"/>
          <w:lang w:val="fr-FR"/>
        </w:rPr>
        <w:t>adoption du décret susmentionné, les requérants ont fait valoir que le remède mis en place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n</w:t>
      </w:r>
      <w:r w:rsidR="00874348" w:rsidRPr="00874348">
        <w:rPr>
          <w:rFonts w:eastAsia="Times New Roman"/>
          <w:lang w:val="fr-FR"/>
        </w:rPr>
        <w:t>’</w:t>
      </w:r>
      <w:r w:rsidRPr="00874348">
        <w:rPr>
          <w:rFonts w:eastAsia="Times New Roman"/>
          <w:lang w:val="fr-FR"/>
        </w:rPr>
        <w:t>est pas de nature à réparer leurs griefs. Le Gouvernement ne s</w:t>
      </w:r>
      <w:r w:rsidR="00874348" w:rsidRPr="00874348">
        <w:rPr>
          <w:rFonts w:eastAsia="Times New Roman"/>
          <w:lang w:val="fr-FR"/>
        </w:rPr>
        <w:t>’</w:t>
      </w:r>
      <w:r w:rsidRPr="00874348">
        <w:rPr>
          <w:rFonts w:eastAsia="Times New Roman"/>
          <w:lang w:val="fr-FR"/>
        </w:rPr>
        <w:t>engage en effet qu</w:t>
      </w:r>
      <w:r w:rsidR="00874348" w:rsidRPr="00874348">
        <w:rPr>
          <w:rFonts w:eastAsia="Times New Roman"/>
          <w:lang w:val="fr-FR"/>
        </w:rPr>
        <w:t>’</w:t>
      </w:r>
      <w:r w:rsidRPr="00874348">
        <w:rPr>
          <w:rFonts w:eastAsia="Times New Roman"/>
          <w:lang w:val="fr-FR"/>
        </w:rPr>
        <w:t>à restaurer les requérants à une date lointaine (au plus tard, le 31 décembre 2017) par des sommes qui ne sont pas assez importantes et sur la base des seules ressources financières disponibles.</w:t>
      </w:r>
    </w:p>
    <w:p w:rsidR="00506071" w:rsidRPr="00874348" w:rsidRDefault="00506071" w:rsidP="00874348">
      <w:pPr>
        <w:pStyle w:val="ECHRPara"/>
        <w:rPr>
          <w:rFonts w:eastAsia="Times New Roman"/>
          <w:lang w:val="fr-FR"/>
        </w:rPr>
      </w:pPr>
      <w:r w:rsidRPr="00874348">
        <w:rPr>
          <w:rFonts w:eastAsia="Times New Roman"/>
          <w:lang w:val="fr-FR"/>
        </w:rPr>
        <w:lastRenderedPageBreak/>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135</w:t>
      </w:r>
      <w:r w:rsidRPr="00874348">
        <w:rPr>
          <w:rFonts w:eastAsia="Times New Roman"/>
          <w:lang w:val="fr-FR"/>
        </w:rPr>
        <w:fldChar w:fldCharType="end"/>
      </w:r>
      <w:r w:rsidRPr="00874348">
        <w:rPr>
          <w:rFonts w:eastAsia="Times New Roman"/>
          <w:lang w:val="fr-FR"/>
        </w:rPr>
        <w:t>.  Les requérants réitèrent enfin leurs griefs (paragraphes 95, 97, 98, 99, 100 et 101 ci-dessus).</w:t>
      </w:r>
    </w:p>
    <w:p w:rsidR="00506071" w:rsidRPr="00874348" w:rsidRDefault="00213F5D" w:rsidP="00874348">
      <w:pPr>
        <w:pStyle w:val="ECHRHeading4"/>
        <w:rPr>
          <w:rFonts w:eastAsia="Times New Roman"/>
          <w:lang w:val="fr-FR"/>
        </w:rPr>
      </w:pPr>
      <w:r w:rsidRPr="00874348">
        <w:rPr>
          <w:rFonts w:eastAsia="Times New Roman"/>
          <w:lang w:val="fr-FR"/>
        </w:rPr>
        <w:t>g</w:t>
      </w:r>
      <w:r w:rsidR="00506071" w:rsidRPr="00874348">
        <w:rPr>
          <w:rFonts w:eastAsia="Times New Roman"/>
          <w:lang w:val="fr-FR"/>
        </w:rPr>
        <w:t>)  Requêtes n</w:t>
      </w:r>
      <w:r w:rsidR="00506071" w:rsidRPr="00874348">
        <w:rPr>
          <w:rFonts w:eastAsia="Times New Roman"/>
          <w:vertAlign w:val="superscript"/>
          <w:lang w:val="fr-FR"/>
        </w:rPr>
        <w:t xml:space="preserve">os </w:t>
      </w:r>
      <w:r w:rsidR="00506071" w:rsidRPr="00874348">
        <w:rPr>
          <w:rFonts w:eastAsia="Times New Roman"/>
          <w:lang w:val="fr-FR"/>
        </w:rPr>
        <w:t>8154/12 et 41143/12 (n</w:t>
      </w:r>
      <w:r w:rsidR="00506071" w:rsidRPr="00874348">
        <w:rPr>
          <w:rFonts w:eastAsia="Times New Roman"/>
          <w:vertAlign w:val="superscript"/>
          <w:lang w:val="fr-FR"/>
        </w:rPr>
        <w:t>os</w:t>
      </w:r>
      <w:r w:rsidR="00506071" w:rsidRPr="00874348">
        <w:rPr>
          <w:rFonts w:eastAsia="Times New Roman"/>
          <w:lang w:val="fr-FR"/>
        </w:rPr>
        <w:t xml:space="preserve"> 18 et 19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136</w:t>
      </w:r>
      <w:r w:rsidRPr="00874348">
        <w:rPr>
          <w:rFonts w:eastAsia="Times New Roman"/>
          <w:lang w:val="fr-FR"/>
        </w:rPr>
        <w:fldChar w:fldCharType="end"/>
      </w:r>
      <w:r w:rsidRPr="00874348">
        <w:rPr>
          <w:rFonts w:eastAsia="Times New Roman"/>
          <w:lang w:val="fr-FR"/>
        </w:rPr>
        <w:t>.  Dans leurs observations présentées avant l</w:t>
      </w:r>
      <w:r w:rsidR="00874348" w:rsidRPr="00874348">
        <w:rPr>
          <w:rFonts w:eastAsia="Times New Roman"/>
          <w:lang w:val="fr-FR"/>
        </w:rPr>
        <w:t>’</w:t>
      </w:r>
      <w:r w:rsidRPr="00874348">
        <w:rPr>
          <w:rFonts w:eastAsia="Times New Roman"/>
          <w:lang w:val="fr-FR"/>
        </w:rPr>
        <w:t>adoption de l</w:t>
      </w:r>
      <w:r w:rsidR="00874348" w:rsidRPr="00874348">
        <w:rPr>
          <w:rFonts w:eastAsia="Times New Roman"/>
          <w:lang w:val="fr-FR"/>
        </w:rPr>
        <w:t>’</w:t>
      </w:r>
      <w:r w:rsidR="00313171" w:rsidRPr="00874348">
        <w:rPr>
          <w:rFonts w:eastAsia="Times New Roman"/>
          <w:lang w:val="fr-FR"/>
        </w:rPr>
        <w:t>article 27</w:t>
      </w:r>
      <w:r w:rsidR="00313171" w:rsidRPr="00874348">
        <w:rPr>
          <w:rFonts w:eastAsia="Times New Roman"/>
          <w:lang w:val="fr-FR"/>
        </w:rPr>
        <w:noBreakHyphen/>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 les requérants soutenaient ne disposer d</w:t>
      </w:r>
      <w:r w:rsidR="00874348" w:rsidRPr="00874348">
        <w:rPr>
          <w:rFonts w:eastAsia="Times New Roman"/>
          <w:lang w:val="fr-FR"/>
        </w:rPr>
        <w:t>’</w:t>
      </w:r>
      <w:r w:rsidRPr="00874348">
        <w:rPr>
          <w:rFonts w:eastAsia="Times New Roman"/>
          <w:lang w:val="fr-FR"/>
        </w:rPr>
        <w:t>aucun recours effectif pour se plaindre des doléances soulevées devant la Cour.</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137</w:t>
      </w:r>
      <w:r w:rsidRPr="00874348">
        <w:rPr>
          <w:rFonts w:eastAsia="Times New Roman"/>
          <w:lang w:val="fr-FR"/>
        </w:rPr>
        <w:fldChar w:fldCharType="end"/>
      </w:r>
      <w:r w:rsidRPr="00874348">
        <w:rPr>
          <w:rFonts w:eastAsia="Times New Roman"/>
          <w:lang w:val="fr-FR"/>
        </w:rPr>
        <w:t>.  À la suite de l</w:t>
      </w:r>
      <w:r w:rsidR="00874348" w:rsidRPr="00874348">
        <w:rPr>
          <w:rFonts w:eastAsia="Times New Roman"/>
          <w:lang w:val="fr-FR"/>
        </w:rPr>
        <w:t>’</w:t>
      </w:r>
      <w:r w:rsidRPr="00874348">
        <w:rPr>
          <w:rFonts w:eastAsia="Times New Roman"/>
          <w:lang w:val="fr-FR"/>
        </w:rPr>
        <w:t>adoption du décret-loi n</w:t>
      </w:r>
      <w:r w:rsidRPr="00874348">
        <w:rPr>
          <w:rFonts w:eastAsia="Times New Roman"/>
          <w:vertAlign w:val="superscript"/>
          <w:lang w:val="fr-FR"/>
        </w:rPr>
        <w:t>o</w:t>
      </w:r>
      <w:r w:rsidRPr="00874348">
        <w:rPr>
          <w:rFonts w:eastAsia="Times New Roman"/>
          <w:lang w:val="fr-FR"/>
        </w:rPr>
        <w:t xml:space="preserve"> 90/2014, les requérants ont contesté qu</w:t>
      </w:r>
      <w:r w:rsidR="00874348" w:rsidRPr="00874348">
        <w:rPr>
          <w:rFonts w:eastAsia="Times New Roman"/>
          <w:lang w:val="fr-FR"/>
        </w:rPr>
        <w:t>’</w:t>
      </w:r>
      <w:r w:rsidRPr="00874348">
        <w:rPr>
          <w:rFonts w:eastAsia="Times New Roman"/>
          <w:lang w:val="fr-FR"/>
        </w:rPr>
        <w:t>une véritable exception quant à la recevabilité de la requête ait été soulevée par le Gouvernement à la lumière du décret-loi n</w:t>
      </w:r>
      <w:r w:rsidRPr="00874348">
        <w:rPr>
          <w:rFonts w:eastAsia="Times New Roman"/>
          <w:vertAlign w:val="superscript"/>
          <w:lang w:val="fr-FR"/>
        </w:rPr>
        <w:t>o</w:t>
      </w:r>
      <w:r w:rsidRPr="00874348">
        <w:rPr>
          <w:rFonts w:eastAsia="Times New Roman"/>
          <w:lang w:val="fr-FR"/>
        </w:rPr>
        <w:t xml:space="preserve"> 90/14.</w:t>
      </w:r>
    </w:p>
    <w:p w:rsidR="00506071" w:rsidRPr="00874348" w:rsidRDefault="00506071" w:rsidP="00874348">
      <w:pPr>
        <w:pStyle w:val="ECHRPara"/>
        <w:rPr>
          <w:rFonts w:eastAsia="Times New Roman"/>
          <w:snapToGrid w:val="0"/>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138</w:t>
      </w:r>
      <w:r w:rsidRPr="00874348">
        <w:rPr>
          <w:rFonts w:eastAsia="Times New Roman"/>
          <w:lang w:val="fr-FR"/>
        </w:rPr>
        <w:fldChar w:fldCharType="end"/>
      </w:r>
      <w:r w:rsidRPr="00874348">
        <w:rPr>
          <w:rFonts w:eastAsia="Times New Roman"/>
          <w:lang w:val="fr-FR"/>
        </w:rPr>
        <w:t>.  En tout état de cause, ils ont fait valoir que l</w:t>
      </w:r>
      <w:r w:rsidR="00874348" w:rsidRPr="00874348">
        <w:rPr>
          <w:rFonts w:eastAsia="Times New Roman"/>
          <w:lang w:val="fr-FR"/>
        </w:rPr>
        <w:t>’</w:t>
      </w:r>
      <w:r w:rsidRPr="00874348">
        <w:rPr>
          <w:rFonts w:eastAsia="Times New Roman"/>
          <w:lang w:val="fr-FR"/>
        </w:rPr>
        <w:t>indemnisation prévue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n</w:t>
      </w:r>
      <w:r w:rsidR="00874348" w:rsidRPr="00874348">
        <w:rPr>
          <w:rFonts w:eastAsia="Times New Roman"/>
          <w:lang w:val="fr-FR"/>
        </w:rPr>
        <w:t>’</w:t>
      </w:r>
      <w:r w:rsidRPr="00874348">
        <w:rPr>
          <w:rFonts w:eastAsia="Times New Roman"/>
          <w:lang w:val="fr-FR"/>
        </w:rPr>
        <w:t>est pas équitable car elle constitue un montant forfaitaire qui ne tient pas compte des différentes modalités de contamination et de la gravité des pathologies contractées. En plus, ce montant est également inférieur aux sommes reconnues dans le cadre des transactions effectuées au niveau national au sens de la loi n</w:t>
      </w:r>
      <w:r w:rsidRPr="00874348">
        <w:rPr>
          <w:rFonts w:eastAsia="Times New Roman"/>
          <w:vertAlign w:val="superscript"/>
          <w:lang w:val="fr-FR"/>
        </w:rPr>
        <w:t>o</w:t>
      </w:r>
      <w:r w:rsidRPr="00874348">
        <w:rPr>
          <w:rFonts w:eastAsia="Times New Roman"/>
          <w:lang w:val="fr-FR"/>
        </w:rPr>
        <w:t xml:space="preserve"> 141/2003 et des procédures en dédommagement aussi bien qu</w:t>
      </w:r>
      <w:r w:rsidR="00874348" w:rsidRPr="00874348">
        <w:rPr>
          <w:rFonts w:eastAsia="Times New Roman"/>
          <w:lang w:val="fr-FR"/>
        </w:rPr>
        <w:t>’</w:t>
      </w:r>
      <w:r w:rsidRPr="00874348">
        <w:rPr>
          <w:rFonts w:eastAsia="Times New Roman"/>
          <w:lang w:val="fr-FR"/>
        </w:rPr>
        <w:t>aux montants reconnus par la Cour dans l</w:t>
      </w:r>
      <w:r w:rsidR="00874348" w:rsidRPr="00874348">
        <w:rPr>
          <w:rFonts w:eastAsia="Times New Roman"/>
          <w:lang w:val="fr-FR"/>
        </w:rPr>
        <w:t>’</w:t>
      </w:r>
      <w:r w:rsidRPr="00874348">
        <w:rPr>
          <w:rFonts w:eastAsia="Times New Roman"/>
          <w:lang w:val="fr-FR"/>
        </w:rPr>
        <w:t xml:space="preserve">affaire </w:t>
      </w:r>
      <w:r w:rsidRPr="00874348">
        <w:rPr>
          <w:rFonts w:eastAsia="Times New Roman"/>
          <w:i/>
          <w:lang w:val="fr-FR"/>
        </w:rPr>
        <w:t xml:space="preserve">G.N. et autres c. Italie </w:t>
      </w:r>
      <w:r w:rsidRPr="00874348">
        <w:rPr>
          <w:rFonts w:eastAsia="Times New Roman"/>
          <w:lang w:val="fr-FR"/>
        </w:rPr>
        <w:t>(satisfaction équitable) (n</w:t>
      </w:r>
      <w:r w:rsidRPr="00874348">
        <w:rPr>
          <w:rFonts w:eastAsia="Times New Roman"/>
          <w:vertAlign w:val="superscript"/>
          <w:lang w:val="fr-FR"/>
        </w:rPr>
        <w:t>o </w:t>
      </w:r>
      <w:r w:rsidRPr="00874348">
        <w:rPr>
          <w:rFonts w:eastAsia="Times New Roman"/>
          <w:lang w:val="fr-FR"/>
        </w:rPr>
        <w:t>43134/05</w:t>
      </w:r>
      <w:r w:rsidRPr="00874348">
        <w:rPr>
          <w:rFonts w:eastAsia="Times New Roman"/>
          <w:snapToGrid w:val="0"/>
          <w:lang w:val="fr-FR"/>
        </w:rPr>
        <w:t xml:space="preserve">, 15 </w:t>
      </w:r>
      <w:r w:rsidRPr="00874348">
        <w:rPr>
          <w:rFonts w:eastAsia="Times New Roman"/>
          <w:lang w:val="fr-FR"/>
        </w:rPr>
        <w:t>mars</w:t>
      </w:r>
      <w:r w:rsidRPr="00874348">
        <w:rPr>
          <w:rFonts w:eastAsia="Times New Roman"/>
          <w:snapToGrid w:val="0"/>
          <w:lang w:val="fr-FR"/>
        </w:rPr>
        <w:t xml:space="preserve"> 2011).</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139</w:t>
      </w:r>
      <w:r w:rsidRPr="00874348">
        <w:rPr>
          <w:rFonts w:eastAsia="Times New Roman"/>
          <w:lang w:val="fr-FR"/>
        </w:rPr>
        <w:fldChar w:fldCharType="end"/>
      </w:r>
      <w:r w:rsidRPr="00874348">
        <w:rPr>
          <w:rFonts w:eastAsia="Times New Roman"/>
          <w:lang w:val="fr-FR"/>
        </w:rPr>
        <w:t>.  Les représentants des requérants ont informé la Cour de ce que vingt et un d</w:t>
      </w:r>
      <w:r w:rsidR="00874348" w:rsidRPr="00874348">
        <w:rPr>
          <w:rFonts w:eastAsia="Times New Roman"/>
          <w:lang w:val="fr-FR"/>
        </w:rPr>
        <w:t>’</w:t>
      </w:r>
      <w:r w:rsidRPr="00874348">
        <w:rPr>
          <w:rFonts w:eastAsia="Times New Roman"/>
          <w:lang w:val="fr-FR"/>
        </w:rPr>
        <w:t>entre eux ont utilisé la voie ouverte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w:t>
      </w:r>
      <w:r w:rsidRPr="00874348">
        <w:rPr>
          <w:rFonts w:eastAsia="Times New Roman"/>
          <w:vertAlign w:val="superscript"/>
          <w:lang w:val="fr-FR"/>
        </w:rPr>
        <w:footnoteReference w:id="12"/>
      </w:r>
      <w:r w:rsidRPr="00874348">
        <w:rPr>
          <w:rFonts w:eastAsia="Times New Roman"/>
          <w:lang w:val="fr-FR"/>
        </w:rPr>
        <w:t>. Ils réitèrent aussi leur</w:t>
      </w:r>
      <w:r w:rsidR="00313171" w:rsidRPr="00874348">
        <w:rPr>
          <w:rFonts w:eastAsia="Times New Roman"/>
          <w:lang w:val="fr-FR"/>
        </w:rPr>
        <w:t>s griefs (paragraphes 95, 99 et </w:t>
      </w:r>
      <w:r w:rsidRPr="00874348">
        <w:rPr>
          <w:rFonts w:eastAsia="Times New Roman"/>
          <w:lang w:val="fr-FR"/>
        </w:rPr>
        <w:t>101 ci-dessus)</w:t>
      </w:r>
    </w:p>
    <w:p w:rsidR="00506071" w:rsidRPr="00874348" w:rsidRDefault="00506071" w:rsidP="00874348">
      <w:pPr>
        <w:pStyle w:val="ECHRHeading2"/>
        <w:rPr>
          <w:rFonts w:eastAsia="Times New Roman"/>
          <w:lang w:val="fr-FR"/>
        </w:rPr>
      </w:pPr>
      <w:r w:rsidRPr="00874348">
        <w:rPr>
          <w:rFonts w:eastAsia="Times New Roman"/>
          <w:lang w:val="fr-FR"/>
        </w:rPr>
        <w:t>C.  Appréciation de la Cour</w:t>
      </w:r>
    </w:p>
    <w:p w:rsidR="00506071" w:rsidRPr="00874348" w:rsidRDefault="006565C8" w:rsidP="00874348">
      <w:pPr>
        <w:pStyle w:val="ECHRHeading3"/>
        <w:rPr>
          <w:rFonts w:eastAsia="Times New Roman"/>
          <w:lang w:val="fr-FR"/>
        </w:rPr>
      </w:pPr>
      <w:r w:rsidRPr="00874348">
        <w:rPr>
          <w:rFonts w:eastAsia="Times New Roman"/>
          <w:lang w:val="fr-FR"/>
        </w:rPr>
        <w:t>1.  </w:t>
      </w:r>
      <w:r w:rsidR="00506071" w:rsidRPr="00874348">
        <w:rPr>
          <w:rFonts w:eastAsia="Times New Roman"/>
          <w:lang w:val="fr-FR"/>
        </w:rPr>
        <w:t>Considérations préliminaires</w:t>
      </w:r>
    </w:p>
    <w:p w:rsidR="00506071" w:rsidRPr="00874348" w:rsidRDefault="00506071" w:rsidP="00874348">
      <w:pPr>
        <w:pStyle w:val="ECHRHeading4"/>
        <w:rPr>
          <w:rFonts w:eastAsia="Times New Roman"/>
          <w:lang w:val="fr-FR"/>
        </w:rPr>
      </w:pPr>
      <w:r w:rsidRPr="00874348">
        <w:rPr>
          <w:rFonts w:eastAsia="Times New Roman"/>
          <w:lang w:val="fr-FR"/>
        </w:rPr>
        <w:t>a)</w:t>
      </w:r>
      <w:r w:rsidR="006565C8" w:rsidRPr="00874348">
        <w:rPr>
          <w:rFonts w:eastAsia="Times New Roman"/>
          <w:lang w:val="fr-FR"/>
        </w:rPr>
        <w:t>  </w:t>
      </w:r>
      <w:r w:rsidRPr="00874348">
        <w:rPr>
          <w:rFonts w:eastAsia="Times New Roman"/>
          <w:lang w:val="fr-FR"/>
        </w:rPr>
        <w:t>Concernant la tardiveté des observations (requêtes indiquées aux n</w:t>
      </w:r>
      <w:r w:rsidRPr="00874348">
        <w:rPr>
          <w:rFonts w:eastAsia="Times New Roman"/>
          <w:vertAlign w:val="superscript"/>
          <w:lang w:val="fr-FR"/>
        </w:rPr>
        <w:t>os</w:t>
      </w:r>
      <w:r w:rsidRPr="00874348">
        <w:rPr>
          <w:rFonts w:eastAsia="Times New Roman"/>
          <w:lang w:val="fr-FR"/>
        </w:rPr>
        <w:t xml:space="preserve"> 5 à 15 dans la liste B en annexe)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140</w:t>
      </w:r>
      <w:r w:rsidRPr="00874348">
        <w:rPr>
          <w:rFonts w:eastAsia="Times New Roman"/>
          <w:lang w:val="fr-FR"/>
        </w:rPr>
        <w:fldChar w:fldCharType="end"/>
      </w:r>
      <w:r w:rsidRPr="00874348">
        <w:rPr>
          <w:rFonts w:eastAsia="Times New Roman"/>
          <w:lang w:val="fr-FR"/>
        </w:rPr>
        <w:t>.  Les requérants en cause soutiennent que les observations du Gouvernement concernant le remède prévu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 ont été présentées tardivement.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141</w:t>
      </w:r>
      <w:r w:rsidRPr="00874348">
        <w:rPr>
          <w:rFonts w:eastAsia="Times New Roman"/>
          <w:lang w:val="fr-FR"/>
        </w:rPr>
        <w:fldChar w:fldCharType="end"/>
      </w:r>
      <w:r w:rsidRPr="00874348">
        <w:rPr>
          <w:rFonts w:eastAsia="Times New Roman"/>
          <w:lang w:val="fr-FR"/>
        </w:rPr>
        <w:t>.  La Cour relève d</w:t>
      </w:r>
      <w:r w:rsidR="00874348" w:rsidRPr="00874348">
        <w:rPr>
          <w:rFonts w:eastAsia="Times New Roman"/>
          <w:lang w:val="fr-FR"/>
        </w:rPr>
        <w:t>’</w:t>
      </w:r>
      <w:r w:rsidRPr="00874348">
        <w:rPr>
          <w:rFonts w:eastAsia="Times New Roman"/>
          <w:lang w:val="fr-FR"/>
        </w:rPr>
        <w:t>abord que le premier délai fixé au Gouvernement pour la présentation de ses observations sur la recevabilité et le fond de l</w:t>
      </w:r>
      <w:r w:rsidR="00874348" w:rsidRPr="00874348">
        <w:rPr>
          <w:rFonts w:eastAsia="Times New Roman"/>
          <w:lang w:val="fr-FR"/>
        </w:rPr>
        <w:t>’</w:t>
      </w:r>
      <w:r w:rsidRPr="00874348">
        <w:rPr>
          <w:rFonts w:eastAsia="Times New Roman"/>
          <w:lang w:val="fr-FR"/>
        </w:rPr>
        <w:t>affaire a expiré le 2 mai 2014 sans que ce dernier ait demandé une prorogation du délai imparti.</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142</w:t>
      </w:r>
      <w:r w:rsidRPr="00874348">
        <w:rPr>
          <w:rFonts w:eastAsia="Times New Roman"/>
          <w:lang w:val="fr-FR"/>
        </w:rPr>
        <w:fldChar w:fldCharType="end"/>
      </w:r>
      <w:r w:rsidRPr="00874348">
        <w:rPr>
          <w:rFonts w:eastAsia="Times New Roman"/>
          <w:lang w:val="fr-FR"/>
        </w:rPr>
        <w:t>.  Ensuite, le 5 août 2014, le Gouvernement a informé la Cour du décret-loi n</w:t>
      </w:r>
      <w:r w:rsidRPr="00874348">
        <w:rPr>
          <w:rFonts w:eastAsia="Times New Roman"/>
          <w:vertAlign w:val="superscript"/>
          <w:lang w:val="fr-FR"/>
        </w:rPr>
        <w:t>o</w:t>
      </w:r>
      <w:r w:rsidRPr="00874348">
        <w:rPr>
          <w:rFonts w:eastAsia="Times New Roman"/>
          <w:lang w:val="fr-FR"/>
        </w:rPr>
        <w:t xml:space="preserve"> 90/2014. Par conséquent, un nouveau délai pour la présentation </w:t>
      </w:r>
      <w:r w:rsidRPr="00874348">
        <w:rPr>
          <w:rFonts w:eastAsia="Times New Roman"/>
          <w:lang w:val="fr-FR"/>
        </w:rPr>
        <w:lastRenderedPageBreak/>
        <w:t>des observations sur la recevabilité et le fond de la requête a été accordé au Gouvernement. Le Gouvernement a produit ses nouvelles observations dans le délai ainsi imparti (à savoir, le 20 octobre 2014).</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143</w:t>
      </w:r>
      <w:r w:rsidRPr="00874348">
        <w:rPr>
          <w:rFonts w:eastAsia="Times New Roman"/>
          <w:lang w:val="fr-FR"/>
        </w:rPr>
        <w:fldChar w:fldCharType="end"/>
      </w:r>
      <w:r w:rsidRPr="00874348">
        <w:rPr>
          <w:rFonts w:eastAsia="Times New Roman"/>
          <w:lang w:val="fr-FR"/>
        </w:rPr>
        <w:t>.  Cette objection doit donc être rejetée.</w:t>
      </w:r>
    </w:p>
    <w:p w:rsidR="00506071" w:rsidRPr="00874348" w:rsidRDefault="006565C8" w:rsidP="00874348">
      <w:pPr>
        <w:pStyle w:val="ECHRHeading4"/>
        <w:rPr>
          <w:rFonts w:eastAsia="Times New Roman"/>
          <w:lang w:val="fr-FR"/>
        </w:rPr>
      </w:pPr>
      <w:r w:rsidRPr="00874348">
        <w:rPr>
          <w:rFonts w:eastAsia="Times New Roman"/>
          <w:lang w:val="fr-FR"/>
        </w:rPr>
        <w:t>b)  </w:t>
      </w:r>
      <w:r w:rsidR="00506071" w:rsidRPr="00874348">
        <w:rPr>
          <w:rFonts w:eastAsia="Times New Roman"/>
          <w:lang w:val="fr-FR"/>
        </w:rPr>
        <w:t>Concernant l</w:t>
      </w:r>
      <w:r w:rsidR="00874348" w:rsidRPr="00874348">
        <w:rPr>
          <w:rFonts w:eastAsia="Times New Roman"/>
          <w:lang w:val="fr-FR"/>
        </w:rPr>
        <w:t>’</w:t>
      </w:r>
      <w:r w:rsidR="00506071" w:rsidRPr="00874348">
        <w:rPr>
          <w:rFonts w:eastAsia="Times New Roman"/>
          <w:lang w:val="fr-FR"/>
        </w:rPr>
        <w:t>échange d</w:t>
      </w:r>
      <w:r w:rsidR="00874348" w:rsidRPr="00874348">
        <w:rPr>
          <w:rFonts w:eastAsia="Times New Roman"/>
          <w:lang w:val="fr-FR"/>
        </w:rPr>
        <w:t>’</w:t>
      </w:r>
      <w:r w:rsidR="00506071" w:rsidRPr="00874348">
        <w:rPr>
          <w:rFonts w:eastAsia="Times New Roman"/>
          <w:lang w:val="fr-FR"/>
        </w:rPr>
        <w:t>observations relatif au nouveau remède prévu par l</w:t>
      </w:r>
      <w:r w:rsidR="00874348" w:rsidRPr="00874348">
        <w:rPr>
          <w:rFonts w:eastAsia="Times New Roman"/>
          <w:lang w:val="fr-FR"/>
        </w:rPr>
        <w:t>’</w:t>
      </w:r>
      <w:r w:rsidR="00506071" w:rsidRPr="00874348">
        <w:rPr>
          <w:rFonts w:eastAsia="Times New Roman"/>
          <w:lang w:val="fr-FR"/>
        </w:rPr>
        <w:t>article 27-</w:t>
      </w:r>
      <w:r w:rsidR="00506071" w:rsidRPr="00874348">
        <w:rPr>
          <w:rFonts w:eastAsia="Times New Roman"/>
          <w:i/>
          <w:lang w:val="fr-FR"/>
        </w:rPr>
        <w:t>bis</w:t>
      </w:r>
      <w:r w:rsidR="00506071" w:rsidRPr="00874348">
        <w:rPr>
          <w:rFonts w:eastAsia="Times New Roman"/>
          <w:lang w:val="fr-FR"/>
        </w:rPr>
        <w:t xml:space="preserve"> du décret-loi 90/2014 (requêtes n</w:t>
      </w:r>
      <w:r w:rsidR="00506071" w:rsidRPr="00874348">
        <w:rPr>
          <w:rFonts w:eastAsia="Times New Roman"/>
          <w:vertAlign w:val="superscript"/>
          <w:lang w:val="fr-FR"/>
        </w:rPr>
        <w:t>os </w:t>
      </w:r>
      <w:r w:rsidR="00506071" w:rsidRPr="00874348">
        <w:rPr>
          <w:rFonts w:eastAsia="Times New Roman"/>
          <w:lang w:val="fr-FR"/>
        </w:rPr>
        <w:t>8154/12 et 41143/12)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144</w:t>
      </w:r>
      <w:r w:rsidRPr="00874348">
        <w:rPr>
          <w:rFonts w:eastAsia="Times New Roman"/>
          <w:lang w:val="fr-FR"/>
        </w:rPr>
        <w:fldChar w:fldCharType="end"/>
      </w:r>
      <w:r w:rsidRPr="00874348">
        <w:rPr>
          <w:rFonts w:eastAsia="Times New Roman"/>
          <w:lang w:val="fr-FR"/>
        </w:rPr>
        <w:t>.  La Cour relève que les requérants ont contesté qu</w:t>
      </w:r>
      <w:r w:rsidR="00874348" w:rsidRPr="00874348">
        <w:rPr>
          <w:rFonts w:eastAsia="Times New Roman"/>
          <w:lang w:val="fr-FR"/>
        </w:rPr>
        <w:t>’</w:t>
      </w:r>
      <w:r w:rsidRPr="00874348">
        <w:rPr>
          <w:rFonts w:eastAsia="Times New Roman"/>
          <w:lang w:val="fr-FR"/>
        </w:rPr>
        <w:t>une véritable exception quant à la recevabilité de la requête ait été soulevée par le Gouvernement à la lumière de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 (paragraphe 137 ci-dessus).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145</w:t>
      </w:r>
      <w:r w:rsidRPr="00874348">
        <w:rPr>
          <w:rFonts w:eastAsia="Times New Roman"/>
          <w:lang w:val="fr-FR"/>
        </w:rPr>
        <w:fldChar w:fldCharType="end"/>
      </w:r>
      <w:r w:rsidRPr="00874348">
        <w:rPr>
          <w:rFonts w:eastAsia="Times New Roman"/>
          <w:lang w:val="fr-FR"/>
        </w:rPr>
        <w:t>.  La Cour rappelle d</w:t>
      </w:r>
      <w:r w:rsidR="00874348" w:rsidRPr="00874348">
        <w:rPr>
          <w:rFonts w:eastAsia="Times New Roman"/>
          <w:lang w:val="fr-FR"/>
        </w:rPr>
        <w:t>’</w:t>
      </w:r>
      <w:r w:rsidRPr="00874348">
        <w:rPr>
          <w:rFonts w:eastAsia="Times New Roman"/>
          <w:lang w:val="fr-FR"/>
        </w:rPr>
        <w:t>emblée que les requêtes indiquées dans la liste aux n</w:t>
      </w:r>
      <w:r w:rsidRPr="00874348">
        <w:rPr>
          <w:rFonts w:eastAsia="Times New Roman"/>
          <w:vertAlign w:val="superscript"/>
          <w:lang w:val="fr-FR"/>
        </w:rPr>
        <w:t>os</w:t>
      </w:r>
      <w:r w:rsidRPr="00874348">
        <w:rPr>
          <w:rFonts w:eastAsia="Times New Roman"/>
          <w:lang w:val="fr-FR"/>
        </w:rPr>
        <w:t xml:space="preserve"> 1 à 15 et celles indiquées aux n</w:t>
      </w:r>
      <w:r w:rsidRPr="00874348">
        <w:rPr>
          <w:rFonts w:eastAsia="Times New Roman"/>
          <w:vertAlign w:val="superscript"/>
          <w:lang w:val="fr-FR"/>
        </w:rPr>
        <w:t>os</w:t>
      </w:r>
      <w:r w:rsidRPr="00874348">
        <w:rPr>
          <w:rFonts w:eastAsia="Times New Roman"/>
          <w:lang w:val="fr-FR"/>
        </w:rPr>
        <w:t xml:space="preserve"> 16 à 19 (dont les requêtes n</w:t>
      </w:r>
      <w:r w:rsidRPr="00874348">
        <w:rPr>
          <w:rFonts w:eastAsia="Times New Roman"/>
          <w:vertAlign w:val="superscript"/>
          <w:lang w:val="fr-FR"/>
        </w:rPr>
        <w:t>os </w:t>
      </w:r>
      <w:r w:rsidRPr="00874348">
        <w:rPr>
          <w:rFonts w:eastAsia="Times New Roman"/>
          <w:lang w:val="fr-FR"/>
        </w:rPr>
        <w:t>8154/12 et 41143/12) ont été communiquées séparément, donnant ainsi lieu au dépôt de deux mémoires du Gouvernement.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146</w:t>
      </w:r>
      <w:r w:rsidRPr="00874348">
        <w:rPr>
          <w:rFonts w:eastAsia="Times New Roman"/>
          <w:lang w:val="fr-FR"/>
        </w:rPr>
        <w:fldChar w:fldCharType="end"/>
      </w:r>
      <w:r w:rsidRPr="00874348">
        <w:rPr>
          <w:rFonts w:eastAsia="Times New Roman"/>
          <w:lang w:val="fr-FR"/>
        </w:rPr>
        <w:t>.  Elle relève ensuite que, dans le cadre des requêtes n</w:t>
      </w:r>
      <w:r w:rsidRPr="00874348">
        <w:rPr>
          <w:rFonts w:eastAsia="Times New Roman"/>
          <w:vertAlign w:val="superscript"/>
          <w:lang w:val="fr-FR"/>
        </w:rPr>
        <w:t>os</w:t>
      </w:r>
      <w:r w:rsidR="00313171" w:rsidRPr="00874348">
        <w:rPr>
          <w:rFonts w:eastAsia="Times New Roman"/>
          <w:lang w:val="fr-FR"/>
        </w:rPr>
        <w:t xml:space="preserve"> 8154/12 et </w:t>
      </w:r>
      <w:r w:rsidRPr="00874348">
        <w:rPr>
          <w:rFonts w:eastAsia="Times New Roman"/>
          <w:lang w:val="fr-FR"/>
        </w:rPr>
        <w:t>41143/12, le Gouvernement s</w:t>
      </w:r>
      <w:r w:rsidR="00874348" w:rsidRPr="00874348">
        <w:rPr>
          <w:rFonts w:eastAsia="Times New Roman"/>
          <w:lang w:val="fr-FR"/>
        </w:rPr>
        <w:t>’</w:t>
      </w:r>
      <w:r w:rsidRPr="00874348">
        <w:rPr>
          <w:rFonts w:eastAsia="Times New Roman"/>
          <w:lang w:val="fr-FR"/>
        </w:rPr>
        <w:t>est référé aux « observations précédentes » (paragraphe 115 ci-dessus). Elle constate que ces dernières concernaient les requêtes indiquées aux n</w:t>
      </w:r>
      <w:r w:rsidRPr="00874348">
        <w:rPr>
          <w:rFonts w:eastAsia="Times New Roman"/>
          <w:vertAlign w:val="superscript"/>
          <w:lang w:val="fr-FR"/>
        </w:rPr>
        <w:t>os</w:t>
      </w:r>
      <w:r w:rsidRPr="00874348">
        <w:rPr>
          <w:rFonts w:eastAsia="Times New Roman"/>
          <w:lang w:val="fr-FR"/>
        </w:rPr>
        <w:t xml:space="preserve"> 1 à 15 dans la liste B en annexe, où les requérants étaient représentés par d</w:t>
      </w:r>
      <w:r w:rsidR="00874348" w:rsidRPr="00874348">
        <w:rPr>
          <w:rFonts w:eastAsia="Times New Roman"/>
          <w:lang w:val="fr-FR"/>
        </w:rPr>
        <w:t>’</w:t>
      </w:r>
      <w:r w:rsidRPr="00874348">
        <w:rPr>
          <w:rFonts w:eastAsia="Times New Roman"/>
          <w:lang w:val="fr-FR"/>
        </w:rPr>
        <w:t>autres avocats.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147</w:t>
      </w:r>
      <w:r w:rsidRPr="00874348">
        <w:rPr>
          <w:rFonts w:eastAsia="Times New Roman"/>
          <w:lang w:val="fr-FR"/>
        </w:rPr>
        <w:fldChar w:fldCharType="end"/>
      </w:r>
      <w:r w:rsidRPr="00874348">
        <w:rPr>
          <w:rFonts w:eastAsia="Times New Roman"/>
          <w:lang w:val="fr-FR"/>
        </w:rPr>
        <w:t>.  La Cour estime que, dans le cadre des requêtes n</w:t>
      </w:r>
      <w:r w:rsidRPr="00874348">
        <w:rPr>
          <w:rFonts w:eastAsia="Times New Roman"/>
          <w:vertAlign w:val="superscript"/>
          <w:lang w:val="fr-FR"/>
        </w:rPr>
        <w:t>os </w:t>
      </w:r>
      <w:r w:rsidR="00313171" w:rsidRPr="00874348">
        <w:rPr>
          <w:rFonts w:eastAsia="Times New Roman"/>
          <w:lang w:val="fr-FR"/>
        </w:rPr>
        <w:t>8154/12 et </w:t>
      </w:r>
      <w:r w:rsidRPr="00874348">
        <w:rPr>
          <w:rFonts w:eastAsia="Times New Roman"/>
          <w:lang w:val="fr-FR"/>
        </w:rPr>
        <w:t>41143/12, quoi que succinctement, le Gouvernement s</w:t>
      </w:r>
      <w:r w:rsidR="00874348" w:rsidRPr="00874348">
        <w:rPr>
          <w:rFonts w:eastAsia="Times New Roman"/>
          <w:lang w:val="fr-FR"/>
        </w:rPr>
        <w:t>’</w:t>
      </w:r>
      <w:r w:rsidRPr="00874348">
        <w:rPr>
          <w:rFonts w:eastAsia="Times New Roman"/>
          <w:lang w:val="fr-FR"/>
        </w:rPr>
        <w:t>est référé de manière suffisamment claire à la possibilité offerte aux requérants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de se prévaloir du nouveau remède existant en droit interne. Par ailleurs, les requérants de ces deux requêtes ont souligné dans leurs observations des éléments de nature à répondre à la question de savoir si le nouveau remède ainsi établi peut être considéré comme étant effectif en l</w:t>
      </w:r>
      <w:r w:rsidR="00874348" w:rsidRPr="00874348">
        <w:rPr>
          <w:rFonts w:eastAsia="Times New Roman"/>
          <w:lang w:val="fr-FR"/>
        </w:rPr>
        <w:t>’</w:t>
      </w:r>
      <w:r w:rsidRPr="00874348">
        <w:rPr>
          <w:rFonts w:eastAsia="Times New Roman"/>
          <w:lang w:val="fr-FR"/>
        </w:rPr>
        <w:t>espèce.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148</w:t>
      </w:r>
      <w:r w:rsidRPr="00874348">
        <w:rPr>
          <w:rFonts w:eastAsia="Times New Roman"/>
          <w:lang w:val="fr-FR"/>
        </w:rPr>
        <w:fldChar w:fldCharType="end"/>
      </w:r>
      <w:r w:rsidRPr="00874348">
        <w:rPr>
          <w:rFonts w:eastAsia="Times New Roman"/>
          <w:lang w:val="fr-FR"/>
        </w:rPr>
        <w:t>.  Cette objection doit donc être rejetée.</w:t>
      </w:r>
    </w:p>
    <w:p w:rsidR="00506071" w:rsidRPr="00874348" w:rsidRDefault="006565C8" w:rsidP="00874348">
      <w:pPr>
        <w:pStyle w:val="ECHRHeading3"/>
        <w:rPr>
          <w:rFonts w:eastAsia="Times New Roman"/>
          <w:lang w:val="fr-FR"/>
        </w:rPr>
      </w:pPr>
      <w:r w:rsidRPr="00874348">
        <w:rPr>
          <w:rFonts w:eastAsia="Times New Roman"/>
          <w:lang w:val="fr-FR"/>
        </w:rPr>
        <w:t>2.  </w:t>
      </w:r>
      <w:r w:rsidR="00506071" w:rsidRPr="00874348">
        <w:rPr>
          <w:rFonts w:eastAsia="Times New Roman"/>
          <w:lang w:val="fr-FR"/>
        </w:rPr>
        <w:t>La radiation du rôle d</w:t>
      </w:r>
      <w:r w:rsidR="00874348" w:rsidRPr="00874348">
        <w:rPr>
          <w:rFonts w:eastAsia="Times New Roman"/>
          <w:lang w:val="fr-FR"/>
        </w:rPr>
        <w:t>’</w:t>
      </w:r>
      <w:r w:rsidR="00506071" w:rsidRPr="00874348">
        <w:rPr>
          <w:rFonts w:eastAsia="Times New Roman"/>
          <w:lang w:val="fr-FR"/>
        </w:rPr>
        <w:t>une partie des requêtes</w:t>
      </w:r>
    </w:p>
    <w:p w:rsidR="00506071" w:rsidRPr="00874348" w:rsidRDefault="006565C8" w:rsidP="00874348">
      <w:pPr>
        <w:pStyle w:val="ECHRHeading4"/>
        <w:rPr>
          <w:rFonts w:eastAsia="Times New Roman"/>
          <w:lang w:val="fr-FR"/>
        </w:rPr>
      </w:pPr>
      <w:r w:rsidRPr="00874348">
        <w:rPr>
          <w:rFonts w:eastAsia="Times New Roman"/>
          <w:lang w:val="fr-FR"/>
        </w:rPr>
        <w:t>a)  </w:t>
      </w:r>
      <w:r w:rsidR="00506071" w:rsidRPr="00874348">
        <w:rPr>
          <w:rFonts w:eastAsia="Times New Roman"/>
          <w:lang w:val="fr-FR"/>
        </w:rPr>
        <w:t>Concernant les requérants figurant dans plusieurs requêtes</w:t>
      </w:r>
    </w:p>
    <w:p w:rsidR="00506071" w:rsidRPr="00874348" w:rsidRDefault="00506071" w:rsidP="00874348">
      <w:pPr>
        <w:pStyle w:val="ECHRPara"/>
        <w:rPr>
          <w:lang w:val="fr-FR"/>
        </w:rPr>
      </w:pPr>
      <w:r w:rsidRPr="00874348">
        <w:rPr>
          <w:lang w:val="fr-FR"/>
        </w:rPr>
        <w:fldChar w:fldCharType="begin"/>
      </w:r>
      <w:r w:rsidRPr="00874348">
        <w:rPr>
          <w:lang w:val="fr-FR"/>
        </w:rPr>
        <w:instrText xml:space="preserve"> SEQ level0 \*arabic </w:instrText>
      </w:r>
      <w:r w:rsidRPr="00874348">
        <w:rPr>
          <w:lang w:val="fr-FR"/>
        </w:rPr>
        <w:fldChar w:fldCharType="separate"/>
      </w:r>
      <w:r w:rsidR="00874348" w:rsidRPr="00874348">
        <w:rPr>
          <w:noProof/>
          <w:lang w:val="fr-FR"/>
        </w:rPr>
        <w:t>149</w:t>
      </w:r>
      <w:r w:rsidRPr="00874348">
        <w:rPr>
          <w:lang w:val="fr-FR"/>
        </w:rPr>
        <w:fldChar w:fldCharType="end"/>
      </w:r>
      <w:r w:rsidRPr="00874348">
        <w:rPr>
          <w:lang w:val="fr-FR"/>
        </w:rPr>
        <w:t>.  La Cour note que les requérants dont les noms sont indiqués aux n</w:t>
      </w:r>
      <w:r w:rsidRPr="00874348">
        <w:rPr>
          <w:vertAlign w:val="superscript"/>
          <w:lang w:val="fr-FR"/>
        </w:rPr>
        <w:t>os</w:t>
      </w:r>
      <w:r w:rsidRPr="00874348">
        <w:rPr>
          <w:lang w:val="fr-FR"/>
        </w:rPr>
        <w:t> 3, 4 et 5 de la requête n</w:t>
      </w:r>
      <w:r w:rsidRPr="00874348">
        <w:rPr>
          <w:vertAlign w:val="superscript"/>
          <w:lang w:val="fr-FR"/>
        </w:rPr>
        <w:t>o</w:t>
      </w:r>
      <w:r w:rsidRPr="00874348">
        <w:rPr>
          <w:lang w:val="fr-FR"/>
        </w:rPr>
        <w:t> 13668/13, figurent également respectivement au n</w:t>
      </w:r>
      <w:r w:rsidRPr="00874348">
        <w:rPr>
          <w:vertAlign w:val="superscript"/>
          <w:lang w:val="fr-FR"/>
        </w:rPr>
        <w:t>o</w:t>
      </w:r>
      <w:r w:rsidRPr="00874348">
        <w:rPr>
          <w:lang w:val="fr-FR"/>
        </w:rPr>
        <w:t xml:space="preserve"> 4 de la requête n</w:t>
      </w:r>
      <w:r w:rsidRPr="00874348">
        <w:rPr>
          <w:vertAlign w:val="superscript"/>
          <w:lang w:val="fr-FR"/>
        </w:rPr>
        <w:t>o</w:t>
      </w:r>
      <w:r w:rsidRPr="00874348">
        <w:rPr>
          <w:lang w:val="fr-FR"/>
        </w:rPr>
        <w:t xml:space="preserve"> 22918/13, au n</w:t>
      </w:r>
      <w:r w:rsidRPr="00874348">
        <w:rPr>
          <w:vertAlign w:val="superscript"/>
          <w:lang w:val="fr-FR"/>
        </w:rPr>
        <w:t>o</w:t>
      </w:r>
      <w:r w:rsidRPr="00874348">
        <w:rPr>
          <w:lang w:val="fr-FR"/>
        </w:rPr>
        <w:t xml:space="preserve"> 2 de la requête n</w:t>
      </w:r>
      <w:r w:rsidRPr="00874348">
        <w:rPr>
          <w:vertAlign w:val="superscript"/>
          <w:lang w:val="fr-FR"/>
        </w:rPr>
        <w:t>o</w:t>
      </w:r>
      <w:r w:rsidRPr="00874348">
        <w:rPr>
          <w:lang w:val="fr-FR"/>
        </w:rPr>
        <w:t xml:space="preserve"> 22933/13 et au n</w:t>
      </w:r>
      <w:r w:rsidRPr="00874348">
        <w:rPr>
          <w:vertAlign w:val="superscript"/>
          <w:lang w:val="fr-FR"/>
        </w:rPr>
        <w:t>o</w:t>
      </w:r>
      <w:r w:rsidRPr="00874348">
        <w:rPr>
          <w:lang w:val="fr-FR"/>
        </w:rPr>
        <w:t> 2 de la requête n</w:t>
      </w:r>
      <w:r w:rsidRPr="00874348">
        <w:rPr>
          <w:vertAlign w:val="superscript"/>
          <w:lang w:val="fr-FR"/>
        </w:rPr>
        <w:t>o</w:t>
      </w:r>
      <w:r w:rsidRPr="00874348">
        <w:rPr>
          <w:lang w:val="fr-FR"/>
        </w:rPr>
        <w:t xml:space="preserve"> 22899/13. En outre, le nom du requérant indiqué au n</w:t>
      </w:r>
      <w:r w:rsidRPr="00874348">
        <w:rPr>
          <w:vertAlign w:val="superscript"/>
          <w:lang w:val="fr-FR"/>
        </w:rPr>
        <w:t>o</w:t>
      </w:r>
      <w:r w:rsidRPr="00874348">
        <w:rPr>
          <w:lang w:val="fr-FR"/>
        </w:rPr>
        <w:t> 1 de la requête n</w:t>
      </w:r>
      <w:r w:rsidRPr="00874348">
        <w:rPr>
          <w:vertAlign w:val="superscript"/>
          <w:lang w:val="fr-FR"/>
        </w:rPr>
        <w:t>o</w:t>
      </w:r>
      <w:r w:rsidRPr="00874348">
        <w:rPr>
          <w:lang w:val="fr-FR"/>
        </w:rPr>
        <w:t xml:space="preserve"> 22978/13 figure également au n</w:t>
      </w:r>
      <w:r w:rsidRPr="00874348">
        <w:rPr>
          <w:vertAlign w:val="superscript"/>
          <w:lang w:val="fr-FR"/>
        </w:rPr>
        <w:t>o</w:t>
      </w:r>
      <w:r w:rsidRPr="00874348">
        <w:rPr>
          <w:lang w:val="fr-FR"/>
        </w:rPr>
        <w:t xml:space="preserve"> 4 de la requête n</w:t>
      </w:r>
      <w:r w:rsidRPr="00874348">
        <w:rPr>
          <w:vertAlign w:val="superscript"/>
          <w:lang w:val="fr-FR"/>
        </w:rPr>
        <w:t>o</w:t>
      </w:r>
      <w:r w:rsidRPr="00874348">
        <w:rPr>
          <w:lang w:val="fr-FR"/>
        </w:rPr>
        <w:t> 13657/13.</w:t>
      </w:r>
    </w:p>
    <w:p w:rsidR="00506071" w:rsidRPr="00874348" w:rsidRDefault="00506071" w:rsidP="00874348">
      <w:pPr>
        <w:pStyle w:val="ECHRPara"/>
        <w:rPr>
          <w:rFonts w:ascii="Times New Roman" w:eastAsia="Times New Roman" w:hAnsi="Times New Roman" w:cs="Times New Roman"/>
          <w:lang w:val="fr-FR"/>
        </w:rPr>
      </w:pPr>
      <w:r w:rsidRPr="00874348">
        <w:rPr>
          <w:lang w:val="fr-FR"/>
        </w:rPr>
        <w:fldChar w:fldCharType="begin"/>
      </w:r>
      <w:r w:rsidRPr="00874348">
        <w:rPr>
          <w:lang w:val="fr-FR"/>
        </w:rPr>
        <w:instrText xml:space="preserve"> SEQ level0 \*arabic </w:instrText>
      </w:r>
      <w:r w:rsidRPr="00874348">
        <w:rPr>
          <w:lang w:val="fr-FR"/>
        </w:rPr>
        <w:fldChar w:fldCharType="separate"/>
      </w:r>
      <w:r w:rsidR="00874348" w:rsidRPr="00874348">
        <w:rPr>
          <w:noProof/>
          <w:lang w:val="fr-FR"/>
        </w:rPr>
        <w:t>150</w:t>
      </w:r>
      <w:r w:rsidRPr="00874348">
        <w:rPr>
          <w:lang w:val="fr-FR"/>
        </w:rPr>
        <w:fldChar w:fldCharType="end"/>
      </w:r>
      <w:r w:rsidRPr="00874348">
        <w:rPr>
          <w:lang w:val="fr-FR"/>
        </w:rPr>
        <w:t>.  La Cour estime qu</w:t>
      </w:r>
      <w:r w:rsidR="00874348" w:rsidRPr="00874348">
        <w:rPr>
          <w:lang w:val="fr-FR"/>
        </w:rPr>
        <w:t>’</w:t>
      </w:r>
      <w:r w:rsidRPr="00874348">
        <w:rPr>
          <w:lang w:val="fr-FR"/>
        </w:rPr>
        <w:t>il n</w:t>
      </w:r>
      <w:r w:rsidR="00874348" w:rsidRPr="00874348">
        <w:rPr>
          <w:lang w:val="fr-FR"/>
        </w:rPr>
        <w:t>’</w:t>
      </w:r>
      <w:r w:rsidRPr="00874348">
        <w:rPr>
          <w:lang w:val="fr-FR"/>
        </w:rPr>
        <w:t>y a pas lieu de poursuivre l</w:t>
      </w:r>
      <w:r w:rsidR="00874348" w:rsidRPr="00874348">
        <w:rPr>
          <w:lang w:val="fr-FR"/>
        </w:rPr>
        <w:t>’</w:t>
      </w:r>
      <w:r w:rsidRPr="00874348">
        <w:rPr>
          <w:lang w:val="fr-FR"/>
        </w:rPr>
        <w:t>examen des affaires introduites par ces requérants et communiquées dans le cadre, respectivement, des requêtes n</w:t>
      </w:r>
      <w:r w:rsidRPr="00874348">
        <w:rPr>
          <w:vertAlign w:val="superscript"/>
          <w:lang w:val="fr-FR"/>
        </w:rPr>
        <w:t>os</w:t>
      </w:r>
      <w:r w:rsidRPr="00874348">
        <w:rPr>
          <w:lang w:val="fr-FR"/>
        </w:rPr>
        <w:t> 22918/13, 22933/13, 22899/13 et 13657/13 et décide de rayer celles-ci du rôle au sens de l</w:t>
      </w:r>
      <w:r w:rsidR="00874348" w:rsidRPr="00874348">
        <w:rPr>
          <w:lang w:val="fr-FR"/>
        </w:rPr>
        <w:t>’</w:t>
      </w:r>
      <w:r w:rsidRPr="00874348">
        <w:rPr>
          <w:lang w:val="fr-FR"/>
        </w:rPr>
        <w:t>article 37 § 1 c) de la Convention.</w:t>
      </w:r>
    </w:p>
    <w:p w:rsidR="00506071" w:rsidRPr="00874348" w:rsidRDefault="006565C8" w:rsidP="00874348">
      <w:pPr>
        <w:pStyle w:val="ECHRHeading4"/>
        <w:rPr>
          <w:rFonts w:eastAsia="Times New Roman"/>
          <w:lang w:val="fr-FR"/>
        </w:rPr>
      </w:pPr>
      <w:r w:rsidRPr="00874348">
        <w:rPr>
          <w:rFonts w:eastAsia="Times New Roman"/>
          <w:lang w:val="fr-FR"/>
        </w:rPr>
        <w:lastRenderedPageBreak/>
        <w:t>b)  </w:t>
      </w:r>
      <w:r w:rsidR="00506071" w:rsidRPr="00874348">
        <w:rPr>
          <w:rFonts w:eastAsia="Times New Roman"/>
          <w:lang w:val="fr-FR"/>
        </w:rPr>
        <w:t>Concernant les requérants s</w:t>
      </w:r>
      <w:r w:rsidR="00874348" w:rsidRPr="00874348">
        <w:rPr>
          <w:rFonts w:eastAsia="Times New Roman"/>
          <w:lang w:val="fr-FR"/>
        </w:rPr>
        <w:t>’</w:t>
      </w:r>
      <w:r w:rsidR="00506071" w:rsidRPr="00874348">
        <w:rPr>
          <w:rFonts w:eastAsia="Times New Roman"/>
          <w:lang w:val="fr-FR"/>
        </w:rPr>
        <w:t>étant prévalus du remède prévu par l</w:t>
      </w:r>
      <w:r w:rsidR="00874348" w:rsidRPr="00874348">
        <w:rPr>
          <w:rFonts w:eastAsia="Times New Roman"/>
          <w:lang w:val="fr-FR"/>
        </w:rPr>
        <w:t>’</w:t>
      </w:r>
      <w:r w:rsidR="00506071" w:rsidRPr="00874348">
        <w:rPr>
          <w:rFonts w:eastAsia="Times New Roman"/>
          <w:lang w:val="fr-FR"/>
        </w:rPr>
        <w:t>article 27-</w:t>
      </w:r>
      <w:r w:rsidR="00506071" w:rsidRPr="00874348">
        <w:rPr>
          <w:rFonts w:eastAsia="Times New Roman"/>
          <w:i/>
          <w:lang w:val="fr-FR"/>
        </w:rPr>
        <w:t>bis</w:t>
      </w:r>
      <w:r w:rsidR="00506071" w:rsidRPr="00874348">
        <w:rPr>
          <w:rFonts w:eastAsia="Times New Roman"/>
          <w:lang w:val="fr-FR"/>
        </w:rPr>
        <w:t xml:space="preserve"> du décret-loi n</w:t>
      </w:r>
      <w:r w:rsidR="00506071" w:rsidRPr="00874348">
        <w:rPr>
          <w:rFonts w:eastAsia="Times New Roman"/>
          <w:vertAlign w:val="superscript"/>
          <w:lang w:val="fr-FR"/>
        </w:rPr>
        <w:t>o</w:t>
      </w:r>
      <w:r w:rsidR="00506071" w:rsidRPr="00874348">
        <w:rPr>
          <w:rFonts w:eastAsia="Times New Roman"/>
          <w:lang w:val="fr-FR"/>
        </w:rPr>
        <w:t xml:space="preserve"> 90/2014</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151</w:t>
      </w:r>
      <w:r w:rsidRPr="00874348">
        <w:rPr>
          <w:rFonts w:eastAsia="Times New Roman"/>
          <w:lang w:val="fr-FR"/>
        </w:rPr>
        <w:fldChar w:fldCharType="end"/>
      </w:r>
      <w:r w:rsidRPr="00874348">
        <w:rPr>
          <w:rFonts w:eastAsia="Times New Roman"/>
          <w:lang w:val="fr-FR"/>
        </w:rPr>
        <w:t>.  La Cour relève que quarante-cinq requérants se sont prévalus du remède prévue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w:t>
      </w:r>
    </w:p>
    <w:p w:rsidR="00506071" w:rsidRPr="00874348" w:rsidRDefault="00506071" w:rsidP="00874348">
      <w:pPr>
        <w:pStyle w:val="ECHRPara"/>
        <w:rPr>
          <w:rFonts w:eastAsia="Times New Roman"/>
          <w:lang w:val="fr-FR"/>
        </w:rPr>
      </w:pPr>
      <w:r w:rsidRPr="00874348">
        <w:rPr>
          <w:rFonts w:eastAsia="Times New Roman" w:cs="Calibri"/>
          <w:lang w:val="fr-FR"/>
        </w:rPr>
        <w:fldChar w:fldCharType="begin"/>
      </w:r>
      <w:r w:rsidRPr="00874348">
        <w:rPr>
          <w:rFonts w:eastAsia="Times New Roman" w:cs="Calibri"/>
          <w:lang w:val="fr-FR"/>
        </w:rPr>
        <w:instrText xml:space="preserve"> SEQ level0 \*arabic </w:instrText>
      </w:r>
      <w:r w:rsidRPr="00874348">
        <w:rPr>
          <w:rFonts w:eastAsia="Times New Roman" w:cs="Calibri"/>
          <w:lang w:val="fr-FR"/>
        </w:rPr>
        <w:fldChar w:fldCharType="separate"/>
      </w:r>
      <w:r w:rsidR="00874348" w:rsidRPr="00874348">
        <w:rPr>
          <w:rFonts w:eastAsia="Times New Roman" w:cs="Calibri"/>
          <w:noProof/>
          <w:lang w:val="fr-FR"/>
        </w:rPr>
        <w:t>152</w:t>
      </w:r>
      <w:r w:rsidRPr="00874348">
        <w:rPr>
          <w:rFonts w:eastAsia="Times New Roman" w:cs="Calibri"/>
          <w:lang w:val="fr-FR"/>
        </w:rPr>
        <w:fldChar w:fldCharType="end"/>
      </w:r>
      <w:r w:rsidRPr="00874348">
        <w:rPr>
          <w:rFonts w:eastAsia="Times New Roman" w:cs="Calibri"/>
          <w:lang w:val="fr-FR"/>
        </w:rPr>
        <w:t>.  Il s</w:t>
      </w:r>
      <w:r w:rsidR="00874348" w:rsidRPr="00874348">
        <w:rPr>
          <w:rFonts w:eastAsia="Times New Roman" w:cs="Calibri"/>
          <w:lang w:val="fr-FR"/>
        </w:rPr>
        <w:t>’</w:t>
      </w:r>
      <w:r w:rsidRPr="00874348">
        <w:rPr>
          <w:rFonts w:eastAsia="Times New Roman" w:cs="Calibri"/>
          <w:lang w:val="fr-FR"/>
        </w:rPr>
        <w:t xml:space="preserve">agit en particulier </w:t>
      </w:r>
      <w:r w:rsidRPr="00874348">
        <w:rPr>
          <w:rFonts w:eastAsia="Times New Roman"/>
          <w:lang w:val="fr-FR"/>
        </w:rPr>
        <w:t>d</w:t>
      </w:r>
      <w:r w:rsidRPr="00874348">
        <w:rPr>
          <w:rFonts w:eastAsia="Times New Roman" w:cs="Calibri"/>
          <w:lang w:val="fr-FR"/>
        </w:rPr>
        <w:t>es requérants indiqués dans la liste B en annexe aux n</w:t>
      </w:r>
      <w:r w:rsidRPr="00874348">
        <w:rPr>
          <w:rFonts w:eastAsia="Times New Roman" w:cs="Calibri"/>
          <w:vertAlign w:val="superscript"/>
          <w:lang w:val="fr-FR"/>
        </w:rPr>
        <w:t>os</w:t>
      </w:r>
      <w:r w:rsidRPr="00874348">
        <w:rPr>
          <w:rFonts w:eastAsia="Times New Roman" w:cs="Calibri"/>
          <w:lang w:val="fr-FR"/>
        </w:rPr>
        <w:t xml:space="preserve"> 14, 15, 19, 34, 46, 49, 50, 51, 64 et 65 de la requête </w:t>
      </w:r>
      <w:r w:rsidRPr="00874348">
        <w:rPr>
          <w:rFonts w:eastAsia="Times New Roman"/>
          <w:lang w:val="fr-FR"/>
        </w:rPr>
        <w:t>n</w:t>
      </w:r>
      <w:r w:rsidRPr="00874348">
        <w:rPr>
          <w:rFonts w:eastAsia="Times New Roman"/>
          <w:vertAlign w:val="superscript"/>
          <w:lang w:val="fr-FR"/>
        </w:rPr>
        <w:t>o </w:t>
      </w:r>
      <w:r w:rsidRPr="00874348">
        <w:rPr>
          <w:rFonts w:eastAsia="Times New Roman"/>
          <w:lang w:val="fr-FR"/>
        </w:rPr>
        <w:t>16178/13, au n</w:t>
      </w:r>
      <w:r w:rsidRPr="00874348">
        <w:rPr>
          <w:rFonts w:eastAsia="Times New Roman"/>
          <w:vertAlign w:val="superscript"/>
          <w:lang w:val="fr-FR"/>
        </w:rPr>
        <w:t>o</w:t>
      </w:r>
      <w:r w:rsidRPr="00874348">
        <w:rPr>
          <w:rFonts w:eastAsia="Times New Roman"/>
          <w:lang w:val="fr-FR"/>
        </w:rPr>
        <w:t xml:space="preserve"> 20 de la requête n</w:t>
      </w:r>
      <w:r w:rsidRPr="00874348">
        <w:rPr>
          <w:rFonts w:eastAsia="Times New Roman"/>
          <w:vertAlign w:val="superscript"/>
          <w:lang w:val="fr-FR"/>
        </w:rPr>
        <w:t>o</w:t>
      </w:r>
      <w:r w:rsidRPr="00874348">
        <w:rPr>
          <w:rFonts w:eastAsia="Times New Roman"/>
          <w:lang w:val="fr-FR"/>
        </w:rPr>
        <w:t xml:space="preserve"> 64572/13, aux numéros 1, 2, 8, 21, 26, 30, 31, 33, 42, 43, 48, 53, et 77 concernant la requête n</w:t>
      </w:r>
      <w:r w:rsidRPr="00874348">
        <w:rPr>
          <w:rFonts w:eastAsia="Times New Roman"/>
          <w:vertAlign w:val="superscript"/>
          <w:lang w:val="fr-FR"/>
        </w:rPr>
        <w:t>o</w:t>
      </w:r>
      <w:r w:rsidRPr="00874348">
        <w:rPr>
          <w:rFonts w:eastAsia="Times New Roman"/>
          <w:lang w:val="fr-FR"/>
        </w:rPr>
        <w:t xml:space="preserve"> 158/12 ainsi qu</w:t>
      </w:r>
      <w:r w:rsidR="00874348" w:rsidRPr="00874348">
        <w:rPr>
          <w:rFonts w:eastAsia="Times New Roman"/>
          <w:lang w:val="fr-FR"/>
        </w:rPr>
        <w:t>’</w:t>
      </w:r>
      <w:r w:rsidRPr="00874348">
        <w:rPr>
          <w:rFonts w:eastAsia="Times New Roman"/>
          <w:lang w:val="fr-FR"/>
        </w:rPr>
        <w:t>aux n</w:t>
      </w:r>
      <w:r w:rsidRPr="00874348">
        <w:rPr>
          <w:rFonts w:eastAsia="Times New Roman"/>
          <w:vertAlign w:val="superscript"/>
          <w:lang w:val="fr-FR"/>
        </w:rPr>
        <w:t>os</w:t>
      </w:r>
      <w:r w:rsidRPr="00874348">
        <w:rPr>
          <w:rFonts w:eastAsia="Times New Roman"/>
          <w:lang w:val="fr-FR"/>
        </w:rPr>
        <w:t xml:space="preserve"> 9, 34, 35, 36, 59, 73, 86, 91, 92, 93, 94, 114, 115, 116, 117, 118, 215, 248, 254, 255 et 260 quant à la requête n</w:t>
      </w:r>
      <w:r w:rsidRPr="00874348">
        <w:rPr>
          <w:rFonts w:eastAsia="Times New Roman"/>
          <w:vertAlign w:val="superscript"/>
          <w:lang w:val="fr-FR"/>
        </w:rPr>
        <w:t>o</w:t>
      </w:r>
      <w:r w:rsidRPr="00874348">
        <w:rPr>
          <w:rFonts w:eastAsia="Times New Roman"/>
          <w:lang w:val="fr-FR"/>
        </w:rPr>
        <w:t> 8154/12.</w:t>
      </w:r>
    </w:p>
    <w:p w:rsidR="00506071" w:rsidRPr="00874348" w:rsidRDefault="00506071" w:rsidP="00874348">
      <w:pPr>
        <w:pStyle w:val="ECHRPara"/>
        <w:rPr>
          <w:rFonts w:eastAsia="Times New Roman" w:cs="Calibri"/>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153</w:t>
      </w:r>
      <w:r w:rsidRPr="00874348">
        <w:rPr>
          <w:rFonts w:eastAsia="Times New Roman"/>
          <w:lang w:val="fr-FR"/>
        </w:rPr>
        <w:fldChar w:fldCharType="end"/>
      </w:r>
      <w:r w:rsidRPr="00874348">
        <w:rPr>
          <w:rFonts w:eastAsia="Times New Roman"/>
          <w:lang w:val="fr-FR"/>
        </w:rPr>
        <w:t>.  La Cour note que, selon texte de l</w:t>
      </w:r>
      <w:r w:rsidR="00874348" w:rsidRPr="00874348">
        <w:rPr>
          <w:rFonts w:eastAsia="Times New Roman"/>
          <w:lang w:val="fr-FR"/>
        </w:rPr>
        <w:t>’</w:t>
      </w:r>
      <w:r w:rsidRPr="00874348">
        <w:rPr>
          <w:rFonts w:eastAsia="Times New Roman"/>
          <w:lang w:val="fr-FR"/>
        </w:rPr>
        <w:t>alinéa 2 de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en acceptant le remède en cause, les requérants renoncent « aux actions en dédommagement entamées, y compris les procédures de transaction, ainsi qu</w:t>
      </w:r>
      <w:r w:rsidR="00874348" w:rsidRPr="00874348">
        <w:rPr>
          <w:rFonts w:eastAsia="Times New Roman"/>
          <w:lang w:val="fr-FR"/>
        </w:rPr>
        <w:t>’</w:t>
      </w:r>
      <w:r w:rsidRPr="00874348">
        <w:rPr>
          <w:rFonts w:eastAsia="Times New Roman"/>
          <w:lang w:val="fr-FR"/>
        </w:rPr>
        <w:t>à toute prétention ultérieure ayant nature de réparation du préjudice subi à l</w:t>
      </w:r>
      <w:r w:rsidR="00874348" w:rsidRPr="00874348">
        <w:rPr>
          <w:rFonts w:eastAsia="Times New Roman"/>
          <w:lang w:val="fr-FR"/>
        </w:rPr>
        <w:t>’</w:t>
      </w:r>
      <w:r w:rsidRPr="00874348">
        <w:rPr>
          <w:rFonts w:eastAsia="Times New Roman"/>
          <w:lang w:val="fr-FR"/>
        </w:rPr>
        <w:t>encontre de l</w:t>
      </w:r>
      <w:r w:rsidR="00874348" w:rsidRPr="00874348">
        <w:rPr>
          <w:rFonts w:eastAsia="Times New Roman"/>
          <w:lang w:val="fr-FR"/>
        </w:rPr>
        <w:t>’</w:t>
      </w:r>
      <w:r w:rsidRPr="00874348">
        <w:rPr>
          <w:rFonts w:eastAsia="Times New Roman"/>
          <w:lang w:val="fr-FR"/>
        </w:rPr>
        <w:t xml:space="preserve">État, y compris au niveau international ». </w:t>
      </w:r>
      <w:r w:rsidRPr="00874348">
        <w:rPr>
          <w:rFonts w:eastAsia="Times New Roman" w:cs="Calibri"/>
          <w:lang w:val="fr-FR"/>
        </w:rPr>
        <w:t>La Cour relève de surcroît que plusieurs requérants concernés ont déjà reçu cette somme (paragraphe 28 ci-dessus).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154</w:t>
      </w:r>
      <w:r w:rsidRPr="00874348">
        <w:rPr>
          <w:rFonts w:eastAsia="Times New Roman"/>
          <w:lang w:val="fr-FR"/>
        </w:rPr>
        <w:fldChar w:fldCharType="end"/>
      </w:r>
      <w:r w:rsidRPr="00874348">
        <w:rPr>
          <w:rFonts w:eastAsia="Times New Roman"/>
          <w:lang w:val="fr-FR"/>
        </w:rPr>
        <w:t>.  Elle en conclut que les requérants susmentionnés n</w:t>
      </w:r>
      <w:r w:rsidR="00874348" w:rsidRPr="00874348">
        <w:rPr>
          <w:rFonts w:eastAsia="Times New Roman"/>
          <w:lang w:val="fr-FR"/>
        </w:rPr>
        <w:t>’</w:t>
      </w:r>
      <w:r w:rsidRPr="00874348">
        <w:rPr>
          <w:rFonts w:eastAsia="Times New Roman"/>
          <w:lang w:val="fr-FR"/>
        </w:rPr>
        <w:t>entendent plus maintenir leur requête et décide partant de rayer cette partie des requêtes du rôle, au sens de l</w:t>
      </w:r>
      <w:r w:rsidR="00874348" w:rsidRPr="00874348">
        <w:rPr>
          <w:rFonts w:eastAsia="Times New Roman"/>
          <w:lang w:val="fr-FR"/>
        </w:rPr>
        <w:t>’</w:t>
      </w:r>
      <w:r w:rsidRPr="00874348">
        <w:rPr>
          <w:rFonts w:eastAsia="Times New Roman"/>
          <w:lang w:val="fr-FR"/>
        </w:rPr>
        <w:t>article 37 § 1 a) de la Convention.</w:t>
      </w:r>
    </w:p>
    <w:p w:rsidR="00506071" w:rsidRPr="00874348" w:rsidRDefault="006565C8" w:rsidP="00874348">
      <w:pPr>
        <w:pStyle w:val="ECHRTitleCentre3"/>
        <w:rPr>
          <w:rFonts w:eastAsia="Times New Roman"/>
          <w:lang w:val="fr-FR"/>
        </w:rPr>
      </w:pPr>
      <w:r w:rsidRPr="00874348">
        <w:rPr>
          <w:rFonts w:eastAsia="Times New Roman"/>
          <w:lang w:val="fr-FR"/>
        </w:rPr>
        <w:t>c)  </w:t>
      </w:r>
      <w:r w:rsidR="00506071" w:rsidRPr="00874348">
        <w:rPr>
          <w:rFonts w:eastAsia="Times New Roman"/>
          <w:lang w:val="fr-FR"/>
        </w:rPr>
        <w:t>Concernant le requérant indiqué au n</w:t>
      </w:r>
      <w:r w:rsidR="00506071" w:rsidRPr="00874348">
        <w:rPr>
          <w:rFonts w:eastAsia="Times New Roman"/>
          <w:vertAlign w:val="superscript"/>
          <w:lang w:val="fr-FR"/>
        </w:rPr>
        <w:t>o</w:t>
      </w:r>
      <w:r w:rsidR="00506071" w:rsidRPr="00874348">
        <w:rPr>
          <w:rFonts w:eastAsia="Times New Roman"/>
          <w:lang w:val="fr-FR"/>
        </w:rPr>
        <w:t xml:space="preserve"> 32 de la requête n</w:t>
      </w:r>
      <w:r w:rsidR="00506071" w:rsidRPr="00874348">
        <w:rPr>
          <w:rFonts w:eastAsia="Times New Roman"/>
          <w:vertAlign w:val="superscript"/>
          <w:lang w:val="fr-FR"/>
        </w:rPr>
        <w:t>o</w:t>
      </w:r>
      <w:r w:rsidR="00506071" w:rsidRPr="00874348">
        <w:rPr>
          <w:rFonts w:eastAsia="Times New Roman"/>
          <w:lang w:val="fr-FR"/>
        </w:rPr>
        <w:t xml:space="preserve"> 158/12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155</w:t>
      </w:r>
      <w:r w:rsidRPr="00874348">
        <w:rPr>
          <w:rFonts w:eastAsia="Times New Roman"/>
          <w:lang w:val="fr-FR"/>
        </w:rPr>
        <w:fldChar w:fldCharType="end"/>
      </w:r>
      <w:r w:rsidRPr="00874348">
        <w:rPr>
          <w:rFonts w:eastAsia="Times New Roman"/>
          <w:lang w:val="fr-FR"/>
        </w:rPr>
        <w:t>.  La Cour prend acte que, selon les informations fournies par les requérants le 10 novembre 2015 (paragraphe 131 ci-dessus), le requérant dont le nom est indiqué au n</w:t>
      </w:r>
      <w:r w:rsidRPr="00874348">
        <w:rPr>
          <w:rFonts w:eastAsia="Times New Roman"/>
          <w:vertAlign w:val="superscript"/>
          <w:lang w:val="fr-FR"/>
        </w:rPr>
        <w:t>o</w:t>
      </w:r>
      <w:r w:rsidRPr="00874348">
        <w:rPr>
          <w:rFonts w:eastAsia="Times New Roman"/>
          <w:lang w:val="fr-FR"/>
        </w:rPr>
        <w:t> 32 de la requête n</w:t>
      </w:r>
      <w:r w:rsidRPr="00874348">
        <w:rPr>
          <w:rFonts w:eastAsia="Times New Roman"/>
          <w:vertAlign w:val="superscript"/>
          <w:lang w:val="fr-FR"/>
        </w:rPr>
        <w:t>o</w:t>
      </w:r>
      <w:r w:rsidRPr="00874348">
        <w:rPr>
          <w:rFonts w:eastAsia="Times New Roman"/>
          <w:lang w:val="fr-FR"/>
        </w:rPr>
        <w:t xml:space="preserve"> 158/12 est décédé le 30 juillet 2014. Elle estime partant que cette partie de la requête doit être rayée du rôle, au sens de l</w:t>
      </w:r>
      <w:r w:rsidR="00874348" w:rsidRPr="00874348">
        <w:rPr>
          <w:rFonts w:eastAsia="Times New Roman"/>
          <w:lang w:val="fr-FR"/>
        </w:rPr>
        <w:t>’</w:t>
      </w:r>
      <w:r w:rsidRPr="00874348">
        <w:rPr>
          <w:rFonts w:eastAsia="Times New Roman"/>
          <w:lang w:val="fr-FR"/>
        </w:rPr>
        <w:t>article 37 § 1 c) de la Convention.</w:t>
      </w:r>
    </w:p>
    <w:p w:rsidR="00506071" w:rsidRPr="00874348" w:rsidRDefault="006565C8" w:rsidP="00874348">
      <w:pPr>
        <w:pStyle w:val="ECHRHeading3"/>
        <w:rPr>
          <w:rFonts w:eastAsia="Times New Roman"/>
          <w:lang w:val="fr-FR"/>
        </w:rPr>
      </w:pPr>
      <w:r w:rsidRPr="00874348">
        <w:rPr>
          <w:rFonts w:eastAsia="Times New Roman"/>
          <w:lang w:val="fr-FR"/>
        </w:rPr>
        <w:t>3.  </w:t>
      </w:r>
      <w:r w:rsidR="00506071" w:rsidRPr="00874348">
        <w:rPr>
          <w:rFonts w:eastAsia="Times New Roman"/>
          <w:lang w:val="fr-FR"/>
        </w:rPr>
        <w:t>La recevabilité du restant des requêtes</w:t>
      </w:r>
    </w:p>
    <w:p w:rsidR="00506071" w:rsidRPr="00874348" w:rsidRDefault="00506071" w:rsidP="00874348">
      <w:pPr>
        <w:pStyle w:val="ECHRHeading4"/>
        <w:rPr>
          <w:rFonts w:eastAsia="Times New Roman"/>
          <w:lang w:val="fr-FR"/>
        </w:rPr>
      </w:pPr>
      <w:r w:rsidRPr="00874348">
        <w:rPr>
          <w:rFonts w:eastAsia="Times New Roman"/>
          <w:lang w:val="fr-FR"/>
        </w:rPr>
        <w:t>a)</w:t>
      </w:r>
      <w:r w:rsidR="006565C8" w:rsidRPr="00874348">
        <w:rPr>
          <w:rFonts w:eastAsia="Times New Roman"/>
          <w:lang w:val="fr-FR"/>
        </w:rPr>
        <w:t>  </w:t>
      </w:r>
      <w:r w:rsidRPr="00874348">
        <w:rPr>
          <w:rFonts w:eastAsia="Times New Roman"/>
          <w:lang w:val="fr-FR"/>
        </w:rPr>
        <w:t>Les principes généraux en matière de non-épuisement des voies de recours internes</w:t>
      </w:r>
    </w:p>
    <w:p w:rsidR="00506071" w:rsidRPr="00874348" w:rsidRDefault="00506071" w:rsidP="00874348">
      <w:pPr>
        <w:pStyle w:val="ECHRPara"/>
        <w:rPr>
          <w:rFonts w:eastAsia="Times New Roman"/>
          <w:i/>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156</w:t>
      </w:r>
      <w:r w:rsidRPr="00874348">
        <w:rPr>
          <w:rFonts w:eastAsia="Times New Roman"/>
          <w:lang w:val="fr-FR"/>
        </w:rPr>
        <w:fldChar w:fldCharType="end"/>
      </w:r>
      <w:r w:rsidRPr="00874348">
        <w:rPr>
          <w:rFonts w:eastAsia="Times New Roman"/>
          <w:lang w:val="fr-FR"/>
        </w:rPr>
        <w:t>.  La Cour rappelle tout d</w:t>
      </w:r>
      <w:r w:rsidR="00874348" w:rsidRPr="00874348">
        <w:rPr>
          <w:rFonts w:eastAsia="Times New Roman"/>
          <w:lang w:val="fr-FR"/>
        </w:rPr>
        <w:t>’</w:t>
      </w:r>
      <w:r w:rsidRPr="00874348">
        <w:rPr>
          <w:rFonts w:eastAsia="Times New Roman"/>
          <w:lang w:val="fr-FR"/>
        </w:rPr>
        <w:t>abord qu</w:t>
      </w:r>
      <w:r w:rsidR="00874348" w:rsidRPr="00874348">
        <w:rPr>
          <w:rFonts w:eastAsia="Times New Roman"/>
          <w:lang w:val="fr-FR"/>
        </w:rPr>
        <w:t>’</w:t>
      </w:r>
      <w:r w:rsidRPr="00874348">
        <w:rPr>
          <w:rFonts w:eastAsia="Times New Roman"/>
          <w:lang w:val="fr-FR"/>
        </w:rPr>
        <w:t>aux termes de l</w:t>
      </w:r>
      <w:r w:rsidR="00874348" w:rsidRPr="00874348">
        <w:rPr>
          <w:rFonts w:eastAsia="Times New Roman"/>
          <w:lang w:val="fr-FR"/>
        </w:rPr>
        <w:t>’</w:t>
      </w:r>
      <w:r w:rsidRPr="00874348">
        <w:rPr>
          <w:rFonts w:eastAsia="Times New Roman"/>
          <w:lang w:val="fr-FR"/>
        </w:rPr>
        <w:t>article 35 § 1 de la Convention, elle ne peut être saisie qu</w:t>
      </w:r>
      <w:r w:rsidR="00874348" w:rsidRPr="00874348">
        <w:rPr>
          <w:rFonts w:eastAsia="Times New Roman"/>
          <w:lang w:val="fr-FR"/>
        </w:rPr>
        <w:t>’</w:t>
      </w:r>
      <w:r w:rsidRPr="00874348">
        <w:rPr>
          <w:rFonts w:eastAsia="Times New Roman"/>
          <w:lang w:val="fr-FR"/>
        </w:rPr>
        <w:t>après l</w:t>
      </w:r>
      <w:r w:rsidR="00874348" w:rsidRPr="00874348">
        <w:rPr>
          <w:rFonts w:eastAsia="Times New Roman"/>
          <w:lang w:val="fr-FR"/>
        </w:rPr>
        <w:t>’</w:t>
      </w:r>
      <w:r w:rsidRPr="00874348">
        <w:rPr>
          <w:rFonts w:eastAsia="Times New Roman"/>
          <w:lang w:val="fr-FR"/>
        </w:rPr>
        <w:t>épuisement des voies de recours internes. Tout requérant doit avoir donné aux juridictions internes l</w:t>
      </w:r>
      <w:r w:rsidR="00874348" w:rsidRPr="00874348">
        <w:rPr>
          <w:rFonts w:eastAsia="Times New Roman"/>
          <w:lang w:val="fr-FR"/>
        </w:rPr>
        <w:t>’</w:t>
      </w:r>
      <w:r w:rsidRPr="00874348">
        <w:rPr>
          <w:rFonts w:eastAsia="Times New Roman"/>
          <w:lang w:val="fr-FR"/>
        </w:rPr>
        <w:t>occasion que cette disposition a pour finalité de ménager en principe aux États contractants, à savoir éviter ou redresser les violations alléguées contre eux. Cette règle se fonde sur l</w:t>
      </w:r>
      <w:r w:rsidR="00874348" w:rsidRPr="00874348">
        <w:rPr>
          <w:rFonts w:eastAsia="Times New Roman"/>
          <w:lang w:val="fr-FR"/>
        </w:rPr>
        <w:t>’</w:t>
      </w:r>
      <w:r w:rsidRPr="00874348">
        <w:rPr>
          <w:rFonts w:eastAsia="Times New Roman"/>
          <w:lang w:val="fr-FR"/>
        </w:rPr>
        <w:t>hypothèse que l</w:t>
      </w:r>
      <w:r w:rsidR="00874348" w:rsidRPr="00874348">
        <w:rPr>
          <w:rFonts w:eastAsia="Times New Roman"/>
          <w:lang w:val="fr-FR"/>
        </w:rPr>
        <w:t>’</w:t>
      </w:r>
      <w:r w:rsidRPr="00874348">
        <w:rPr>
          <w:rFonts w:eastAsia="Times New Roman"/>
          <w:lang w:val="fr-FR"/>
        </w:rPr>
        <w:t>ordre interne offre un recours effectif quant à la violation alléguée. Les dispositions de l</w:t>
      </w:r>
      <w:r w:rsidR="00874348" w:rsidRPr="00874348">
        <w:rPr>
          <w:rFonts w:eastAsia="Times New Roman"/>
          <w:lang w:val="fr-FR"/>
        </w:rPr>
        <w:t>’</w:t>
      </w:r>
      <w:r w:rsidRPr="00874348">
        <w:rPr>
          <w:rFonts w:eastAsia="Times New Roman"/>
          <w:lang w:val="fr-FR"/>
        </w:rPr>
        <w:t>article 35 § 1 ne prescrivent toutefois l</w:t>
      </w:r>
      <w:r w:rsidR="00874348" w:rsidRPr="00874348">
        <w:rPr>
          <w:rFonts w:eastAsia="Times New Roman"/>
          <w:lang w:val="fr-FR"/>
        </w:rPr>
        <w:t>’</w:t>
      </w:r>
      <w:r w:rsidRPr="00874348">
        <w:rPr>
          <w:rFonts w:eastAsia="Times New Roman"/>
          <w:lang w:val="fr-FR"/>
        </w:rPr>
        <w:t>épuisement que des seuls recours à la fois relatifs aux violations incriminées, disponibles et adéquats. Ils doivent exister à un degré suffisant de certitude non seulement en théorie mais aussi en pratique, sans quoi leur manquent l</w:t>
      </w:r>
      <w:r w:rsidR="00874348" w:rsidRPr="00874348">
        <w:rPr>
          <w:rFonts w:eastAsia="Times New Roman"/>
          <w:lang w:val="fr-FR"/>
        </w:rPr>
        <w:t>’</w:t>
      </w:r>
      <w:r w:rsidRPr="00874348">
        <w:rPr>
          <w:rFonts w:eastAsia="Times New Roman"/>
          <w:lang w:val="fr-FR"/>
        </w:rPr>
        <w:t>effectivité et l</w:t>
      </w:r>
      <w:r w:rsidR="00874348" w:rsidRPr="00874348">
        <w:rPr>
          <w:rFonts w:eastAsia="Times New Roman"/>
          <w:lang w:val="fr-FR"/>
        </w:rPr>
        <w:t>’</w:t>
      </w:r>
      <w:r w:rsidRPr="00874348">
        <w:rPr>
          <w:rFonts w:eastAsia="Times New Roman"/>
          <w:lang w:val="fr-FR"/>
        </w:rPr>
        <w:t>accessibilité voulues ; il incombe à l</w:t>
      </w:r>
      <w:r w:rsidR="00874348" w:rsidRPr="00874348">
        <w:rPr>
          <w:rFonts w:eastAsia="Times New Roman"/>
          <w:lang w:val="fr-FR"/>
        </w:rPr>
        <w:t>’</w:t>
      </w:r>
      <w:r w:rsidRPr="00874348">
        <w:rPr>
          <w:rFonts w:eastAsia="Times New Roman"/>
          <w:lang w:val="fr-FR"/>
        </w:rPr>
        <w:t xml:space="preserve">État défendeur de démontrer que ces exigences se trouvent réunies (voir, </w:t>
      </w:r>
      <w:r w:rsidRPr="00874348">
        <w:rPr>
          <w:rFonts w:eastAsia="Times New Roman"/>
          <w:lang w:val="fr-FR"/>
        </w:rPr>
        <w:lastRenderedPageBreak/>
        <w:t>parmi beaucoup d</w:t>
      </w:r>
      <w:r w:rsidR="00874348" w:rsidRPr="00874348">
        <w:rPr>
          <w:rFonts w:eastAsia="Times New Roman"/>
          <w:lang w:val="fr-FR"/>
        </w:rPr>
        <w:t>’</w:t>
      </w:r>
      <w:r w:rsidRPr="00874348">
        <w:rPr>
          <w:rFonts w:eastAsia="Times New Roman"/>
          <w:lang w:val="fr-FR"/>
        </w:rPr>
        <w:t xml:space="preserve">autres, </w:t>
      </w:r>
      <w:r w:rsidRPr="00874348">
        <w:rPr>
          <w:rFonts w:eastAsia="Times New Roman"/>
          <w:i/>
          <w:lang w:val="fr-FR"/>
        </w:rPr>
        <w:t xml:space="preserve">McFarlane c. Irlande </w:t>
      </w:r>
      <w:r w:rsidRPr="00874348">
        <w:rPr>
          <w:rFonts w:eastAsia="Times New Roman"/>
          <w:lang w:val="fr-FR"/>
        </w:rPr>
        <w:t>[GC], n</w:t>
      </w:r>
      <w:r w:rsidRPr="00874348">
        <w:rPr>
          <w:rFonts w:eastAsia="Times New Roman"/>
          <w:vertAlign w:val="superscript"/>
          <w:lang w:val="fr-FR"/>
        </w:rPr>
        <w:t>o</w:t>
      </w:r>
      <w:r w:rsidRPr="00874348">
        <w:rPr>
          <w:rFonts w:eastAsia="Times New Roman"/>
          <w:lang w:val="fr-FR"/>
        </w:rPr>
        <w:t xml:space="preserve"> 31333/06, § 107, 10 septembre 2010, </w:t>
      </w:r>
      <w:r w:rsidRPr="00874348">
        <w:rPr>
          <w:rFonts w:eastAsia="Times New Roman"/>
          <w:i/>
          <w:lang w:val="fr-FR"/>
        </w:rPr>
        <w:t xml:space="preserve">Vučković et autres c. Serbie </w:t>
      </w:r>
      <w:r w:rsidRPr="00874348">
        <w:rPr>
          <w:rFonts w:eastAsia="Times New Roman"/>
          <w:lang w:val="fr-FR"/>
        </w:rPr>
        <w:t>[GC], n</w:t>
      </w:r>
      <w:r w:rsidRPr="00874348">
        <w:rPr>
          <w:rFonts w:eastAsia="Times New Roman"/>
          <w:vertAlign w:val="superscript"/>
          <w:lang w:val="fr-FR"/>
        </w:rPr>
        <w:t>o</w:t>
      </w:r>
      <w:r w:rsidRPr="00874348">
        <w:rPr>
          <w:rFonts w:eastAsia="Times New Roman"/>
          <w:lang w:val="fr-FR"/>
        </w:rPr>
        <w:t xml:space="preserve"> 17153/11</w:t>
      </w:r>
      <w:r w:rsidR="00313171" w:rsidRPr="00874348">
        <w:rPr>
          <w:rFonts w:eastAsia="Times New Roman"/>
          <w:snapToGrid w:val="0"/>
          <w:color w:val="000000"/>
          <w:lang w:val="fr-FR"/>
        </w:rPr>
        <w:t>, §§ 69</w:t>
      </w:r>
      <w:r w:rsidR="00313171" w:rsidRPr="00874348">
        <w:rPr>
          <w:rFonts w:eastAsia="Times New Roman"/>
          <w:snapToGrid w:val="0"/>
          <w:color w:val="000000"/>
          <w:lang w:val="fr-FR"/>
        </w:rPr>
        <w:noBreakHyphen/>
      </w:r>
      <w:r w:rsidRPr="00874348">
        <w:rPr>
          <w:rFonts w:eastAsia="Times New Roman"/>
          <w:snapToGrid w:val="0"/>
          <w:color w:val="000000"/>
          <w:lang w:val="fr-FR"/>
        </w:rPr>
        <w:t xml:space="preserve">77, </w:t>
      </w:r>
      <w:r w:rsidRPr="00874348">
        <w:rPr>
          <w:rFonts w:eastAsia="Times New Roman"/>
          <w:color w:val="000000"/>
          <w:lang w:val="fr-FR"/>
        </w:rPr>
        <w:t>25</w:t>
      </w:r>
      <w:r w:rsidRPr="00874348">
        <w:rPr>
          <w:rFonts w:eastAsia="Times New Roman"/>
          <w:snapToGrid w:val="0"/>
          <w:color w:val="000000"/>
          <w:lang w:val="fr-FR"/>
        </w:rPr>
        <w:t xml:space="preserve"> </w:t>
      </w:r>
      <w:r w:rsidRPr="00874348">
        <w:rPr>
          <w:rFonts w:eastAsia="Times New Roman"/>
          <w:color w:val="000000"/>
          <w:lang w:val="fr-FR"/>
        </w:rPr>
        <w:t>mars</w:t>
      </w:r>
      <w:r w:rsidRPr="00874348">
        <w:rPr>
          <w:rFonts w:eastAsia="Times New Roman"/>
          <w:snapToGrid w:val="0"/>
          <w:color w:val="000000"/>
          <w:lang w:val="fr-FR"/>
        </w:rPr>
        <w:t xml:space="preserve"> 2014 et </w:t>
      </w:r>
      <w:r w:rsidRPr="00874348">
        <w:rPr>
          <w:i/>
          <w:lang w:val="fr-FR"/>
        </w:rPr>
        <w:t>Gherghina c. Romania</w:t>
      </w:r>
      <w:r w:rsidRPr="00874348">
        <w:rPr>
          <w:lang w:val="fr-FR"/>
        </w:rPr>
        <w:t xml:space="preserve"> (déc.) [GC], n</w:t>
      </w:r>
      <w:r w:rsidRPr="00874348">
        <w:rPr>
          <w:vertAlign w:val="superscript"/>
          <w:lang w:val="fr-FR"/>
        </w:rPr>
        <w:t>o</w:t>
      </w:r>
      <w:r w:rsidRPr="00874348">
        <w:rPr>
          <w:lang w:val="fr-FR"/>
        </w:rPr>
        <w:t xml:space="preserve"> </w:t>
      </w:r>
      <w:hyperlink r:id="rId25" w:anchor="{&quot;appno&quot;:[&quot;42219/07&quot;]}" w:tgtFrame="_blank" w:history="1">
        <w:r w:rsidRPr="00874348">
          <w:rPr>
            <w:rStyle w:val="Collegamentoipertestuale"/>
            <w:color w:val="auto"/>
            <w:u w:val="none"/>
            <w:lang w:val="fr-FR"/>
          </w:rPr>
          <w:t>42219/07</w:t>
        </w:r>
      </w:hyperlink>
      <w:r w:rsidRPr="00874348">
        <w:rPr>
          <w:lang w:val="fr-FR"/>
        </w:rPr>
        <w:t>, §§ 83-89, 9 juillet 2015</w:t>
      </w:r>
      <w:r w:rsidRPr="00874348">
        <w:rPr>
          <w:rFonts w:eastAsia="Times New Roman"/>
          <w:lang w:val="fr-FR"/>
        </w:rPr>
        <w:t>).</w:t>
      </w:r>
    </w:p>
    <w:p w:rsidR="00506071" w:rsidRPr="00874348" w:rsidRDefault="00506071" w:rsidP="00874348">
      <w:pPr>
        <w:pStyle w:val="ECHRPara"/>
        <w:rPr>
          <w:i/>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157</w:t>
      </w:r>
      <w:r w:rsidRPr="00874348">
        <w:rPr>
          <w:rFonts w:eastAsia="Times New Roman"/>
          <w:lang w:val="fr-FR"/>
        </w:rPr>
        <w:fldChar w:fldCharType="end"/>
      </w:r>
      <w:r w:rsidRPr="00874348">
        <w:rPr>
          <w:rFonts w:eastAsia="Times New Roman"/>
          <w:lang w:val="fr-FR"/>
        </w:rPr>
        <w:t>.  À cet égard, la Cour rappelle que l</w:t>
      </w:r>
      <w:r w:rsidR="00874348" w:rsidRPr="00874348">
        <w:rPr>
          <w:rFonts w:eastAsia="Times New Roman"/>
          <w:lang w:val="fr-FR"/>
        </w:rPr>
        <w:t>’</w:t>
      </w:r>
      <w:r w:rsidRPr="00874348">
        <w:rPr>
          <w:rFonts w:eastAsia="Times New Roman"/>
          <w:lang w:val="fr-FR"/>
        </w:rPr>
        <w:t>épuisement des voies de recours internes s</w:t>
      </w:r>
      <w:r w:rsidR="00874348" w:rsidRPr="00874348">
        <w:rPr>
          <w:rFonts w:eastAsia="Times New Roman"/>
          <w:lang w:val="fr-FR"/>
        </w:rPr>
        <w:t>’</w:t>
      </w:r>
      <w:r w:rsidRPr="00874348">
        <w:rPr>
          <w:rFonts w:eastAsia="Times New Roman"/>
          <w:lang w:val="fr-FR"/>
        </w:rPr>
        <w:t>apprécie normalement à la date d</w:t>
      </w:r>
      <w:r w:rsidR="00874348" w:rsidRPr="00874348">
        <w:rPr>
          <w:rFonts w:eastAsia="Times New Roman"/>
          <w:lang w:val="fr-FR"/>
        </w:rPr>
        <w:t>’</w:t>
      </w:r>
      <w:r w:rsidRPr="00874348">
        <w:rPr>
          <w:rFonts w:eastAsia="Times New Roman"/>
          <w:lang w:val="fr-FR"/>
        </w:rPr>
        <w:t>introduction de la requête devant elle. Cependant, cette règle est assortie d</w:t>
      </w:r>
      <w:r w:rsidR="00874348" w:rsidRPr="00874348">
        <w:rPr>
          <w:rFonts w:eastAsia="Times New Roman"/>
          <w:lang w:val="fr-FR"/>
        </w:rPr>
        <w:t>’</w:t>
      </w:r>
      <w:r w:rsidRPr="00874348">
        <w:rPr>
          <w:rFonts w:eastAsia="Times New Roman"/>
          <w:lang w:val="fr-FR"/>
        </w:rPr>
        <w:t>exceptions pouvant être justifiées par les circonstances particulières de chaque espèce, telles que la mise en place d</w:t>
      </w:r>
      <w:r w:rsidR="00874348" w:rsidRPr="00874348">
        <w:rPr>
          <w:rFonts w:eastAsia="Times New Roman"/>
          <w:lang w:val="fr-FR"/>
        </w:rPr>
        <w:t>’</w:t>
      </w:r>
      <w:r w:rsidRPr="00874348">
        <w:rPr>
          <w:rFonts w:eastAsia="Times New Roman"/>
          <w:lang w:val="fr-FR"/>
        </w:rPr>
        <w:t xml:space="preserve">une nouvelle législation prévoyant un remède interne eu égard à un problème systémique de longueur de la procédure (voir </w:t>
      </w:r>
      <w:r w:rsidRPr="00874348">
        <w:rPr>
          <w:rFonts w:eastAsia="Times New Roman"/>
          <w:i/>
          <w:lang w:val="fr-FR"/>
        </w:rPr>
        <w:t>Brusco</w:t>
      </w:r>
      <w:r w:rsidR="00313171" w:rsidRPr="00874348">
        <w:rPr>
          <w:rFonts w:eastAsia="Times New Roman"/>
          <w:i/>
          <w:lang w:val="fr-FR"/>
        </w:rPr>
        <w:t xml:space="preserve"> </w:t>
      </w:r>
      <w:r w:rsidRPr="00874348">
        <w:rPr>
          <w:rFonts w:eastAsia="Times New Roman"/>
          <w:i/>
          <w:lang w:val="fr-FR"/>
        </w:rPr>
        <w:t>c. Italie</w:t>
      </w:r>
      <w:r w:rsidRPr="00874348">
        <w:rPr>
          <w:rFonts w:eastAsia="Times New Roman"/>
          <w:lang w:val="fr-FR"/>
        </w:rPr>
        <w:t xml:space="preserve"> (déc.), n</w:t>
      </w:r>
      <w:r w:rsidRPr="00874348">
        <w:rPr>
          <w:rFonts w:eastAsia="Times New Roman"/>
          <w:vertAlign w:val="superscript"/>
          <w:lang w:val="fr-FR"/>
        </w:rPr>
        <w:t>o</w:t>
      </w:r>
      <w:r w:rsidRPr="00874348">
        <w:rPr>
          <w:rFonts w:eastAsia="Times New Roman"/>
          <w:lang w:val="fr-FR"/>
        </w:rPr>
        <w:t> </w:t>
      </w:r>
      <w:hyperlink r:id="rId26" w:anchor="{&quot;appno&quot;:[&quot;69789/01&quot;]}" w:tgtFrame="_blank" w:history="1">
        <w:r w:rsidRPr="00874348">
          <w:rPr>
            <w:rFonts w:eastAsia="Times New Roman"/>
            <w:lang w:val="fr-FR"/>
          </w:rPr>
          <w:t>69789/01</w:t>
        </w:r>
      </w:hyperlink>
      <w:r w:rsidRPr="00874348">
        <w:rPr>
          <w:rFonts w:eastAsia="Times New Roman"/>
          <w:lang w:val="fr-FR"/>
        </w:rPr>
        <w:t xml:space="preserve">, CEDH 2001-IX ; </w:t>
      </w:r>
      <w:r w:rsidRPr="00874348">
        <w:rPr>
          <w:rFonts w:eastAsia="Times New Roman"/>
          <w:i/>
          <w:lang w:val="fr-FR"/>
        </w:rPr>
        <w:t>Techniki Olympiaki A.E.</w:t>
      </w:r>
      <w:r w:rsidR="00313171" w:rsidRPr="00874348">
        <w:rPr>
          <w:rFonts w:eastAsia="Times New Roman"/>
          <w:i/>
          <w:lang w:val="fr-FR"/>
        </w:rPr>
        <w:t xml:space="preserve"> </w:t>
      </w:r>
      <w:r w:rsidRPr="00874348">
        <w:rPr>
          <w:rFonts w:eastAsia="Times New Roman"/>
          <w:i/>
          <w:lang w:val="fr-FR"/>
        </w:rPr>
        <w:t>c. Grèce</w:t>
      </w:r>
      <w:r w:rsidRPr="00874348">
        <w:rPr>
          <w:rFonts w:eastAsia="Times New Roman"/>
          <w:lang w:val="fr-FR"/>
        </w:rPr>
        <w:t xml:space="preserve"> (déc.), n</w:t>
      </w:r>
      <w:r w:rsidRPr="00874348">
        <w:rPr>
          <w:rFonts w:eastAsia="Times New Roman"/>
          <w:vertAlign w:val="superscript"/>
          <w:lang w:val="fr-FR"/>
        </w:rPr>
        <w:t>o</w:t>
      </w:r>
      <w:r w:rsidRPr="00874348">
        <w:rPr>
          <w:rFonts w:eastAsia="Times New Roman"/>
          <w:lang w:val="fr-FR"/>
        </w:rPr>
        <w:t> </w:t>
      </w:r>
      <w:hyperlink r:id="rId27" w:anchor="{&quot;appno&quot;:[&quot;40547/10&quot;]}" w:tgtFrame="_blank" w:history="1">
        <w:r w:rsidRPr="00874348">
          <w:rPr>
            <w:rFonts w:eastAsia="Times New Roman"/>
            <w:lang w:val="fr-FR"/>
          </w:rPr>
          <w:t>40547/10</w:t>
        </w:r>
      </w:hyperlink>
      <w:r w:rsidRPr="00874348">
        <w:rPr>
          <w:rFonts w:eastAsia="Times New Roman"/>
          <w:lang w:val="fr-FR"/>
        </w:rPr>
        <w:t>, 1</w:t>
      </w:r>
      <w:r w:rsidRPr="00874348">
        <w:rPr>
          <w:rFonts w:eastAsia="Times New Roman"/>
          <w:vertAlign w:val="superscript"/>
          <w:lang w:val="fr-FR"/>
        </w:rPr>
        <w:t>er</w:t>
      </w:r>
      <w:r w:rsidRPr="00874348">
        <w:rPr>
          <w:rFonts w:eastAsia="Times New Roman"/>
          <w:lang w:val="fr-FR"/>
        </w:rPr>
        <w:t xml:space="preserve"> octobre 2013, § 31 ; </w:t>
      </w:r>
      <w:r w:rsidRPr="00874348">
        <w:rPr>
          <w:i/>
          <w:lang w:val="fr-FR"/>
        </w:rPr>
        <w:t>Xynos c. Grèce</w:t>
      </w:r>
      <w:r w:rsidRPr="00874348">
        <w:rPr>
          <w:snapToGrid w:val="0"/>
          <w:lang w:val="fr-FR"/>
        </w:rPr>
        <w:t xml:space="preserve">, </w:t>
      </w:r>
      <w:r w:rsidRPr="00874348">
        <w:rPr>
          <w:lang w:val="fr-FR"/>
        </w:rPr>
        <w:t>n</w:t>
      </w:r>
      <w:r w:rsidRPr="00874348">
        <w:rPr>
          <w:vertAlign w:val="superscript"/>
          <w:lang w:val="fr-FR"/>
        </w:rPr>
        <w:t>o</w:t>
      </w:r>
      <w:r w:rsidR="00313171" w:rsidRPr="00874348">
        <w:rPr>
          <w:lang w:val="fr-FR"/>
        </w:rPr>
        <w:t> </w:t>
      </w:r>
      <w:r w:rsidRPr="00874348">
        <w:rPr>
          <w:lang w:val="fr-FR"/>
        </w:rPr>
        <w:t>30226/09</w:t>
      </w:r>
      <w:r w:rsidRPr="00874348">
        <w:rPr>
          <w:snapToGrid w:val="0"/>
          <w:lang w:val="fr-FR"/>
        </w:rPr>
        <w:t xml:space="preserve">, § 32, 9 </w:t>
      </w:r>
      <w:r w:rsidRPr="00874348">
        <w:rPr>
          <w:lang w:val="fr-FR"/>
        </w:rPr>
        <w:t>octobre</w:t>
      </w:r>
      <w:r w:rsidRPr="00874348">
        <w:rPr>
          <w:snapToGrid w:val="0"/>
          <w:lang w:val="fr-FR"/>
        </w:rPr>
        <w:t xml:space="preserve"> 2014 ; </w:t>
      </w:r>
      <w:r w:rsidRPr="00874348">
        <w:rPr>
          <w:rFonts w:eastAsia="Times New Roman"/>
          <w:i/>
          <w:lang w:val="fr-FR"/>
        </w:rPr>
        <w:t>Nogolica c. Croatie</w:t>
      </w:r>
      <w:r w:rsidRPr="00874348">
        <w:rPr>
          <w:rFonts w:eastAsia="Times New Roman"/>
          <w:lang w:val="fr-FR"/>
        </w:rPr>
        <w:t xml:space="preserve"> (déc.), n</w:t>
      </w:r>
      <w:r w:rsidRPr="00874348">
        <w:rPr>
          <w:rFonts w:eastAsia="Times New Roman"/>
          <w:vertAlign w:val="superscript"/>
          <w:lang w:val="fr-FR"/>
        </w:rPr>
        <w:t>o</w:t>
      </w:r>
      <w:r w:rsidRPr="00874348">
        <w:rPr>
          <w:rFonts w:eastAsia="Times New Roman"/>
          <w:lang w:val="fr-FR"/>
        </w:rPr>
        <w:t xml:space="preserve"> </w:t>
      </w:r>
      <w:hyperlink r:id="rId28" w:anchor="{&quot;appno&quot;:[&quot;77784/01&quot;]}" w:tgtFrame="_blank" w:history="1">
        <w:r w:rsidRPr="00874348">
          <w:rPr>
            <w:rFonts w:eastAsia="Times New Roman"/>
            <w:lang w:val="fr-FR"/>
          </w:rPr>
          <w:t>77784/01</w:t>
        </w:r>
      </w:hyperlink>
      <w:r w:rsidRPr="00874348">
        <w:rPr>
          <w:rFonts w:eastAsia="Times New Roman"/>
          <w:lang w:val="fr-FR"/>
        </w:rPr>
        <w:t>, CEDH 2002</w:t>
      </w:r>
      <w:r w:rsidRPr="00874348">
        <w:rPr>
          <w:rFonts w:eastAsia="Times New Roman"/>
          <w:lang w:val="fr-FR"/>
        </w:rPr>
        <w:noBreakHyphen/>
        <w:t xml:space="preserve">VIII, </w:t>
      </w:r>
      <w:r w:rsidRPr="00874348">
        <w:rPr>
          <w:rFonts w:eastAsia="Times New Roman"/>
          <w:i/>
          <w:lang w:val="fr-FR"/>
        </w:rPr>
        <w:t>Andrášik et autres c. Slovaquie</w:t>
      </w:r>
      <w:r w:rsidRPr="00874348">
        <w:rPr>
          <w:rFonts w:eastAsia="Times New Roman"/>
          <w:lang w:val="fr-FR"/>
        </w:rPr>
        <w:t xml:space="preserve"> (déc.), n</w:t>
      </w:r>
      <w:r w:rsidRPr="00874348">
        <w:rPr>
          <w:rFonts w:eastAsia="Times New Roman"/>
          <w:vertAlign w:val="superscript"/>
          <w:lang w:val="fr-FR"/>
        </w:rPr>
        <w:t>os</w:t>
      </w:r>
      <w:r w:rsidRPr="00874348">
        <w:rPr>
          <w:rFonts w:eastAsia="Times New Roman"/>
          <w:lang w:val="fr-FR"/>
        </w:rPr>
        <w:t xml:space="preserve"> </w:t>
      </w:r>
      <w:hyperlink r:id="rId29" w:anchor="{&quot;appno&quot;:[&quot;57984/00&quot;]}" w:tgtFrame="_blank" w:history="1">
        <w:r w:rsidRPr="00874348">
          <w:rPr>
            <w:rFonts w:eastAsia="Times New Roman"/>
            <w:lang w:val="fr-FR"/>
          </w:rPr>
          <w:t>57984/00</w:t>
        </w:r>
      </w:hyperlink>
      <w:r w:rsidRPr="00874348">
        <w:rPr>
          <w:rFonts w:eastAsia="Times New Roman"/>
          <w:lang w:val="fr-FR"/>
        </w:rPr>
        <w:t xml:space="preserve">, </w:t>
      </w:r>
      <w:hyperlink r:id="rId30" w:anchor="{&quot;appno&quot;:[&quot;60237/00&quot;]}" w:tgtFrame="_blank" w:history="1">
        <w:r w:rsidRPr="00874348">
          <w:rPr>
            <w:rFonts w:eastAsia="Times New Roman"/>
            <w:lang w:val="fr-FR"/>
          </w:rPr>
          <w:t>60237/00</w:t>
        </w:r>
      </w:hyperlink>
      <w:r w:rsidRPr="00874348">
        <w:rPr>
          <w:rFonts w:eastAsia="Times New Roman"/>
          <w:lang w:val="fr-FR"/>
        </w:rPr>
        <w:t xml:space="preserve">, </w:t>
      </w:r>
      <w:hyperlink r:id="rId31" w:anchor="{&quot;appno&quot;:[&quot;60242/00&quot;]}" w:tgtFrame="_blank" w:history="1">
        <w:r w:rsidRPr="00874348">
          <w:rPr>
            <w:rFonts w:eastAsia="Times New Roman"/>
            <w:lang w:val="fr-FR"/>
          </w:rPr>
          <w:t>60242/00</w:t>
        </w:r>
      </w:hyperlink>
      <w:r w:rsidRPr="00874348">
        <w:rPr>
          <w:rFonts w:eastAsia="Times New Roman"/>
          <w:lang w:val="fr-FR"/>
        </w:rPr>
        <w:t xml:space="preserve">, </w:t>
      </w:r>
      <w:hyperlink r:id="rId32" w:anchor="{&quot;appno&quot;:[&quot;60679/00&quot;]}" w:tgtFrame="_blank" w:history="1">
        <w:r w:rsidRPr="00874348">
          <w:rPr>
            <w:rFonts w:eastAsia="Times New Roman"/>
            <w:lang w:val="fr-FR"/>
          </w:rPr>
          <w:t>60679/00</w:t>
        </w:r>
      </w:hyperlink>
      <w:r w:rsidRPr="00874348">
        <w:rPr>
          <w:rFonts w:eastAsia="Times New Roman"/>
          <w:lang w:val="fr-FR"/>
        </w:rPr>
        <w:t xml:space="preserve">, </w:t>
      </w:r>
      <w:hyperlink r:id="rId33" w:anchor="{&quot;appno&quot;:[&quot;60680/00&quot;]}" w:tgtFrame="_blank" w:history="1">
        <w:r w:rsidRPr="00874348">
          <w:rPr>
            <w:rFonts w:eastAsia="Times New Roman"/>
            <w:lang w:val="fr-FR"/>
          </w:rPr>
          <w:t>60680/00</w:t>
        </w:r>
      </w:hyperlink>
      <w:r w:rsidRPr="00874348">
        <w:rPr>
          <w:rFonts w:eastAsia="Times New Roman"/>
          <w:lang w:val="fr-FR"/>
        </w:rPr>
        <w:t xml:space="preserve">, </w:t>
      </w:r>
      <w:hyperlink r:id="rId34" w:anchor="{&quot;appno&quot;:[&quot;68563/01&quot;]}" w:tgtFrame="_blank" w:history="1">
        <w:r w:rsidRPr="00874348">
          <w:rPr>
            <w:rFonts w:eastAsia="Times New Roman"/>
            <w:lang w:val="fr-FR"/>
          </w:rPr>
          <w:t>68563/01</w:t>
        </w:r>
      </w:hyperlink>
      <w:r w:rsidRPr="00874348">
        <w:rPr>
          <w:rFonts w:eastAsia="Times New Roman"/>
          <w:lang w:val="fr-FR"/>
        </w:rPr>
        <w:t xml:space="preserve"> et </w:t>
      </w:r>
      <w:hyperlink r:id="rId35" w:anchor="{&quot;appno&quot;:[&quot;60226/00&quot;]}" w:tgtFrame="_blank" w:history="1">
        <w:r w:rsidRPr="00874348">
          <w:rPr>
            <w:rFonts w:eastAsia="Times New Roman"/>
            <w:lang w:val="fr-FR"/>
          </w:rPr>
          <w:t>60226/00</w:t>
        </w:r>
      </w:hyperlink>
      <w:r w:rsidR="00313171" w:rsidRPr="00874348">
        <w:rPr>
          <w:rFonts w:eastAsia="Times New Roman"/>
          <w:lang w:val="fr-FR"/>
        </w:rPr>
        <w:t>, CEDH </w:t>
      </w:r>
      <w:r w:rsidRPr="00874348">
        <w:rPr>
          <w:rFonts w:eastAsia="Times New Roman"/>
          <w:lang w:val="fr-FR"/>
        </w:rPr>
        <w:t>2002</w:t>
      </w:r>
      <w:r w:rsidRPr="00874348">
        <w:rPr>
          <w:rFonts w:eastAsia="Times New Roman"/>
          <w:lang w:val="fr-FR"/>
        </w:rPr>
        <w:noBreakHyphen/>
        <w:t xml:space="preserve">IX) et dans </w:t>
      </w:r>
      <w:r w:rsidRPr="00874348">
        <w:rPr>
          <w:rFonts w:eastAsia="Times New Roman"/>
          <w:i/>
          <w:lang w:val="fr-FR"/>
        </w:rPr>
        <w:t>İçyer c. Turquie</w:t>
      </w:r>
      <w:r w:rsidRPr="00874348">
        <w:rPr>
          <w:rFonts w:eastAsia="Times New Roman"/>
          <w:lang w:val="fr-FR"/>
        </w:rPr>
        <w:t xml:space="preserve"> (déc.), (n</w:t>
      </w:r>
      <w:r w:rsidRPr="00874348">
        <w:rPr>
          <w:rFonts w:eastAsia="Times New Roman"/>
          <w:vertAlign w:val="superscript"/>
          <w:lang w:val="fr-FR"/>
        </w:rPr>
        <w:t>o</w:t>
      </w:r>
      <w:r w:rsidRPr="00874348">
        <w:rPr>
          <w:rFonts w:eastAsia="Times New Roman"/>
          <w:lang w:val="fr-FR"/>
        </w:rPr>
        <w:t> </w:t>
      </w:r>
      <w:hyperlink r:id="rId36" w:anchor="{&quot;appno&quot;:[&quot;18888/02&quot;]}" w:tgtFrame="_blank" w:history="1">
        <w:r w:rsidRPr="00874348">
          <w:rPr>
            <w:rFonts w:eastAsia="Times New Roman"/>
            <w:lang w:val="fr-FR"/>
          </w:rPr>
          <w:t>18888/02</w:t>
        </w:r>
      </w:hyperlink>
      <w:r w:rsidR="00313171" w:rsidRPr="00874348">
        <w:rPr>
          <w:rFonts w:eastAsia="Times New Roman"/>
          <w:lang w:val="fr-FR"/>
        </w:rPr>
        <w:t>, CEDH </w:t>
      </w:r>
      <w:r w:rsidRPr="00874348">
        <w:rPr>
          <w:rFonts w:eastAsia="Times New Roman"/>
          <w:lang w:val="fr-FR"/>
        </w:rPr>
        <w:t>2006</w:t>
      </w:r>
      <w:r w:rsidRPr="00874348">
        <w:rPr>
          <w:rFonts w:eastAsia="Times New Roman"/>
          <w:lang w:val="fr-FR"/>
        </w:rPr>
        <w:noBreakHyphen/>
        <w:t xml:space="preserve">I) concernant un nouveau recours indemnitaire pour ingérence dans le droit de propriété (voir aussi </w:t>
      </w:r>
      <w:r w:rsidRPr="00874348">
        <w:rPr>
          <w:rFonts w:eastAsia="Times New Roman"/>
          <w:i/>
          <w:lang w:val="fr-FR"/>
        </w:rPr>
        <w:t>Charzyński c. Pologne</w:t>
      </w:r>
      <w:r w:rsidRPr="00874348">
        <w:rPr>
          <w:rFonts w:eastAsia="Times New Roman"/>
          <w:lang w:val="fr-FR"/>
        </w:rPr>
        <w:t xml:space="preserve"> (déc.), n </w:t>
      </w:r>
      <w:r w:rsidRPr="00874348">
        <w:rPr>
          <w:rFonts w:eastAsia="Times New Roman"/>
          <w:vertAlign w:val="superscript"/>
          <w:lang w:val="fr-FR"/>
        </w:rPr>
        <w:t>o</w:t>
      </w:r>
      <w:hyperlink r:id="rId37" w:anchor="{&quot;appno&quot;:[&quot;15212/03&quot;]}" w:tgtFrame="_blank" w:history="1">
        <w:r w:rsidRPr="00874348">
          <w:rPr>
            <w:rFonts w:eastAsia="Times New Roman"/>
            <w:lang w:val="fr-FR"/>
          </w:rPr>
          <w:t>15212/03</w:t>
        </w:r>
      </w:hyperlink>
      <w:r w:rsidRPr="00874348">
        <w:rPr>
          <w:rFonts w:eastAsia="Times New Roman"/>
          <w:lang w:val="fr-FR"/>
        </w:rPr>
        <w:t>, CEDH 2005</w:t>
      </w:r>
      <w:r w:rsidRPr="00874348">
        <w:rPr>
          <w:rFonts w:eastAsia="Times New Roman"/>
          <w:lang w:val="fr-FR"/>
        </w:rPr>
        <w:noBreakHyphen/>
        <w:t xml:space="preserve">V, et </w:t>
      </w:r>
      <w:r w:rsidRPr="00874348">
        <w:rPr>
          <w:rFonts w:eastAsia="Times New Roman"/>
          <w:i/>
          <w:lang w:val="fr-FR"/>
        </w:rPr>
        <w:t>Michalak c. Pologne</w:t>
      </w:r>
      <w:r w:rsidRPr="00874348">
        <w:rPr>
          <w:rFonts w:eastAsia="Times New Roman"/>
          <w:lang w:val="fr-FR"/>
        </w:rPr>
        <w:t xml:space="preserve"> (déc.), n</w:t>
      </w:r>
      <w:r w:rsidRPr="00874348">
        <w:rPr>
          <w:rFonts w:eastAsia="Times New Roman"/>
          <w:vertAlign w:val="superscript"/>
          <w:lang w:val="fr-FR"/>
        </w:rPr>
        <w:t>o</w:t>
      </w:r>
      <w:r w:rsidRPr="00874348">
        <w:rPr>
          <w:rFonts w:eastAsia="Times New Roman"/>
          <w:lang w:val="fr-FR"/>
        </w:rPr>
        <w:t> </w:t>
      </w:r>
      <w:hyperlink r:id="rId38" w:anchor="{&quot;appno&quot;:[&quot;24549/03&quot;]}" w:tgtFrame="_blank" w:history="1">
        <w:r w:rsidRPr="00874348">
          <w:rPr>
            <w:rFonts w:eastAsia="Times New Roman"/>
            <w:lang w:val="fr-FR"/>
          </w:rPr>
          <w:t>24549/03</w:t>
        </w:r>
      </w:hyperlink>
      <w:r w:rsidRPr="00874348">
        <w:rPr>
          <w:rFonts w:eastAsia="Times New Roman"/>
          <w:lang w:val="fr-FR"/>
        </w:rPr>
        <w:t>, 1</w:t>
      </w:r>
      <w:r w:rsidRPr="00874348">
        <w:rPr>
          <w:rFonts w:eastAsia="Times New Roman"/>
          <w:vertAlign w:val="superscript"/>
          <w:lang w:val="fr-FR"/>
        </w:rPr>
        <w:t>er </w:t>
      </w:r>
      <w:r w:rsidRPr="00874348">
        <w:rPr>
          <w:rFonts w:eastAsia="Times New Roman"/>
          <w:lang w:val="fr-FR"/>
        </w:rPr>
        <w:t>mars 2005</w:t>
      </w:r>
      <w:r w:rsidRPr="00874348">
        <w:rPr>
          <w:rFonts w:eastAsia="Times New Roman"/>
          <w:vertAlign w:val="superscript"/>
          <w:lang w:val="fr-FR"/>
        </w:rPr>
        <w:t xml:space="preserve"> </w:t>
      </w:r>
      <w:r w:rsidRPr="00874348">
        <w:rPr>
          <w:rFonts w:eastAsia="Times New Roman"/>
          <w:lang w:val="fr-FR"/>
        </w:rPr>
        <w:t xml:space="preserve">et </w:t>
      </w:r>
      <w:r w:rsidRPr="00874348">
        <w:rPr>
          <w:rFonts w:eastAsia="Times New Roman"/>
          <w:i/>
          <w:snapToGrid w:val="0"/>
          <w:lang w:val="fr-FR"/>
        </w:rPr>
        <w:t xml:space="preserve">Demopoulos et autres c. Turquie </w:t>
      </w:r>
      <w:r w:rsidRPr="00874348">
        <w:rPr>
          <w:rFonts w:eastAsia="Times New Roman"/>
          <w:snapToGrid w:val="0"/>
          <w:lang w:val="fr-FR"/>
        </w:rPr>
        <w:t>(déc.) [GC], n</w:t>
      </w:r>
      <w:r w:rsidRPr="00874348">
        <w:rPr>
          <w:rFonts w:eastAsia="Times New Roman"/>
          <w:snapToGrid w:val="0"/>
          <w:vertAlign w:val="superscript"/>
          <w:lang w:val="fr-FR"/>
        </w:rPr>
        <w:t>os</w:t>
      </w:r>
      <w:r w:rsidRPr="00874348">
        <w:rPr>
          <w:rFonts w:eastAsia="Times New Roman"/>
          <w:snapToGrid w:val="0"/>
          <w:lang w:val="fr-FR"/>
        </w:rPr>
        <w:t xml:space="preserve"> 46113/99, 3843/02, 13751/02, 13466/03, 10200/04, 14163/04, 19993/04 et 21819/04</w:t>
      </w:r>
      <w:r w:rsidRPr="00874348">
        <w:rPr>
          <w:rFonts w:eastAsia="Times New Roman"/>
          <w:lang w:val="fr-FR"/>
        </w:rPr>
        <w:t>, §§ 87-88, CEDH 2010</w:t>
      </w:r>
      <w:r w:rsidRPr="00874348">
        <w:rPr>
          <w:rFonts w:eastAsia="Times New Roman"/>
          <w:snapToGrid w:val="0"/>
          <w:lang w:val="fr-FR"/>
        </w:rPr>
        <w:t xml:space="preserve"> – (1.3.10)).</w:t>
      </w:r>
    </w:p>
    <w:p w:rsidR="00506071" w:rsidRPr="00874348" w:rsidRDefault="00506071" w:rsidP="00874348">
      <w:pPr>
        <w:pStyle w:val="ECHRPara"/>
        <w:rPr>
          <w:rFonts w:eastAsia="Times New Roman"/>
          <w:i/>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158</w:t>
      </w:r>
      <w:r w:rsidRPr="00874348">
        <w:rPr>
          <w:rFonts w:eastAsia="Times New Roman"/>
          <w:lang w:val="fr-FR"/>
        </w:rPr>
        <w:fldChar w:fldCharType="end"/>
      </w:r>
      <w:r w:rsidRPr="00874348">
        <w:rPr>
          <w:rFonts w:eastAsia="Times New Roman"/>
          <w:lang w:val="fr-FR"/>
        </w:rPr>
        <w:t>.  S</w:t>
      </w:r>
      <w:r w:rsidRPr="00874348">
        <w:rPr>
          <w:rFonts w:eastAsia="Times New Roman"/>
          <w:szCs w:val="24"/>
          <w:lang w:val="fr-FR"/>
        </w:rPr>
        <w:t>elon la jurisprudence de la Cour les requérants doivent essayer un nouveau remède proposé au niveau interne (même après la communication des requêtes au gouvernement) pourvu que celui-ci soit efficace. La seule circonstance qu</w:t>
      </w:r>
      <w:r w:rsidR="00874348" w:rsidRPr="00874348">
        <w:rPr>
          <w:rFonts w:eastAsia="Times New Roman"/>
          <w:szCs w:val="24"/>
          <w:lang w:val="fr-FR"/>
        </w:rPr>
        <w:t>’</w:t>
      </w:r>
      <w:r w:rsidRPr="00874348">
        <w:rPr>
          <w:rFonts w:eastAsia="Times New Roman"/>
          <w:szCs w:val="24"/>
          <w:lang w:val="fr-FR"/>
        </w:rPr>
        <w:t>il n</w:t>
      </w:r>
      <w:r w:rsidR="00874348" w:rsidRPr="00874348">
        <w:rPr>
          <w:rFonts w:eastAsia="Times New Roman"/>
          <w:szCs w:val="24"/>
          <w:lang w:val="fr-FR"/>
        </w:rPr>
        <w:t>’</w:t>
      </w:r>
      <w:r w:rsidRPr="00874348">
        <w:rPr>
          <w:rFonts w:eastAsia="Times New Roman"/>
          <w:szCs w:val="24"/>
          <w:lang w:val="fr-FR"/>
        </w:rPr>
        <w:t>y ait pas encore de pratique administrative ou judiciaire n</w:t>
      </w:r>
      <w:r w:rsidR="00874348" w:rsidRPr="00874348">
        <w:rPr>
          <w:rFonts w:eastAsia="Times New Roman"/>
          <w:szCs w:val="24"/>
          <w:lang w:val="fr-FR"/>
        </w:rPr>
        <w:t>’</w:t>
      </w:r>
      <w:r w:rsidRPr="00874348">
        <w:rPr>
          <w:rFonts w:eastAsia="Times New Roman"/>
          <w:szCs w:val="24"/>
          <w:lang w:val="fr-FR"/>
        </w:rPr>
        <w:t xml:space="preserve">est pas à elle seule de nature à rendre le recours inefficace (voir </w:t>
      </w:r>
      <w:r w:rsidRPr="00874348">
        <w:rPr>
          <w:rFonts w:eastAsia="Times New Roman"/>
          <w:i/>
          <w:szCs w:val="24"/>
          <w:lang w:val="fr-FR"/>
        </w:rPr>
        <w:t>Scordino c.</w:t>
      </w:r>
      <w:r w:rsidR="00313171" w:rsidRPr="00874348">
        <w:rPr>
          <w:rFonts w:eastAsia="Times New Roman"/>
          <w:i/>
          <w:szCs w:val="24"/>
          <w:lang w:val="fr-FR"/>
        </w:rPr>
        <w:t> </w:t>
      </w:r>
      <w:r w:rsidRPr="00874348">
        <w:rPr>
          <w:rFonts w:eastAsia="Times New Roman"/>
          <w:i/>
          <w:spacing w:val="-2"/>
          <w:szCs w:val="24"/>
          <w:lang w:val="fr-FR"/>
        </w:rPr>
        <w:t>Italie (n</w:t>
      </w:r>
      <w:r w:rsidRPr="00874348">
        <w:rPr>
          <w:rFonts w:eastAsia="Times New Roman"/>
          <w:i/>
          <w:spacing w:val="-2"/>
          <w:szCs w:val="24"/>
          <w:vertAlign w:val="superscript"/>
          <w:lang w:val="fr-FR"/>
        </w:rPr>
        <w:t>o</w:t>
      </w:r>
      <w:r w:rsidRPr="00874348">
        <w:rPr>
          <w:rFonts w:eastAsia="Times New Roman"/>
          <w:i/>
          <w:spacing w:val="-2"/>
          <w:szCs w:val="24"/>
          <w:lang w:val="fr-FR"/>
        </w:rPr>
        <w:t xml:space="preserve"> 1)</w:t>
      </w:r>
      <w:r w:rsidRPr="00874348">
        <w:rPr>
          <w:rFonts w:eastAsia="Times New Roman"/>
          <w:szCs w:val="24"/>
          <w:lang w:val="fr-FR"/>
        </w:rPr>
        <w:t xml:space="preserve"> [GC], n</w:t>
      </w:r>
      <w:r w:rsidRPr="00874348">
        <w:rPr>
          <w:rFonts w:eastAsia="Times New Roman"/>
          <w:szCs w:val="24"/>
          <w:vertAlign w:val="superscript"/>
          <w:lang w:val="fr-FR"/>
        </w:rPr>
        <w:t>o</w:t>
      </w:r>
      <w:r w:rsidRPr="00874348">
        <w:rPr>
          <w:rFonts w:eastAsia="Times New Roman"/>
          <w:szCs w:val="24"/>
          <w:lang w:val="fr-FR"/>
        </w:rPr>
        <w:t xml:space="preserve"> 36813/97, CEDH 2006</w:t>
      </w:r>
      <w:r w:rsidRPr="00874348">
        <w:rPr>
          <w:rFonts w:eastAsia="Times New Roman"/>
          <w:szCs w:val="24"/>
          <w:lang w:val="fr-FR"/>
        </w:rPr>
        <w:noBreakHyphen/>
        <w:t>V</w:t>
      </w:r>
      <w:r w:rsidRPr="00874348">
        <w:rPr>
          <w:rFonts w:eastAsia="Times New Roman"/>
          <w:i/>
          <w:iCs/>
          <w:szCs w:val="24"/>
          <w:lang w:val="fr-FR"/>
        </w:rPr>
        <w:t xml:space="preserve"> ; </w:t>
      </w:r>
      <w:r w:rsidRPr="00874348">
        <w:rPr>
          <w:rFonts w:eastAsia="Times New Roman"/>
          <w:i/>
          <w:szCs w:val="24"/>
          <w:lang w:val="fr-FR"/>
        </w:rPr>
        <w:t xml:space="preserve">Cocchiarella c. </w:t>
      </w:r>
      <w:r w:rsidRPr="00874348">
        <w:rPr>
          <w:rFonts w:eastAsia="Times New Roman"/>
          <w:i/>
          <w:spacing w:val="-2"/>
          <w:szCs w:val="24"/>
          <w:lang w:val="fr-FR"/>
        </w:rPr>
        <w:t>Italie</w:t>
      </w:r>
      <w:r w:rsidRPr="00874348">
        <w:rPr>
          <w:rFonts w:eastAsia="Times New Roman"/>
          <w:szCs w:val="24"/>
          <w:lang w:val="fr-FR"/>
        </w:rPr>
        <w:t xml:space="preserve"> [GC], n</w:t>
      </w:r>
      <w:r w:rsidRPr="00874348">
        <w:rPr>
          <w:rFonts w:eastAsia="Times New Roman"/>
          <w:szCs w:val="24"/>
          <w:vertAlign w:val="superscript"/>
          <w:lang w:val="fr-FR"/>
        </w:rPr>
        <w:t>o</w:t>
      </w:r>
      <w:r w:rsidRPr="00874348">
        <w:rPr>
          <w:rFonts w:eastAsia="Times New Roman"/>
          <w:szCs w:val="24"/>
          <w:lang w:val="fr-FR"/>
        </w:rPr>
        <w:t xml:space="preserve"> 64886/01, CEDH 2006</w:t>
      </w:r>
      <w:r w:rsidRPr="00874348">
        <w:rPr>
          <w:rFonts w:eastAsia="Times New Roman"/>
          <w:szCs w:val="24"/>
          <w:lang w:val="fr-FR"/>
        </w:rPr>
        <w:noBreakHyphen/>
        <w:t>V</w:t>
      </w:r>
      <w:r w:rsidRPr="00874348">
        <w:rPr>
          <w:rFonts w:eastAsia="Times New Roman"/>
          <w:i/>
          <w:iCs/>
          <w:szCs w:val="24"/>
          <w:lang w:val="fr-FR"/>
        </w:rPr>
        <w:t xml:space="preserve"> ; </w:t>
      </w:r>
      <w:r w:rsidRPr="00874348">
        <w:rPr>
          <w:rFonts w:eastAsia="Times New Roman"/>
          <w:i/>
          <w:lang w:val="fr-FR"/>
        </w:rPr>
        <w:t>Robert Lesjak c. Slovénie</w:t>
      </w:r>
      <w:r w:rsidRPr="00874348">
        <w:rPr>
          <w:rFonts w:eastAsia="Times New Roman"/>
          <w:lang w:val="fr-FR"/>
        </w:rPr>
        <w:t>, n</w:t>
      </w:r>
      <w:r w:rsidRPr="00874348">
        <w:rPr>
          <w:rFonts w:eastAsia="Times New Roman"/>
          <w:vertAlign w:val="superscript"/>
          <w:lang w:val="fr-FR"/>
        </w:rPr>
        <w:t>o</w:t>
      </w:r>
      <w:r w:rsidRPr="00874348">
        <w:rPr>
          <w:rFonts w:eastAsia="Times New Roman"/>
          <w:lang w:val="fr-FR"/>
        </w:rPr>
        <w:t xml:space="preserve"> 33946/03</w:t>
      </w:r>
      <w:r w:rsidRPr="00874348">
        <w:rPr>
          <w:rFonts w:eastAsia="Times New Roman"/>
          <w:snapToGrid w:val="0"/>
          <w:lang w:val="fr-FR"/>
        </w:rPr>
        <w:t>, 21 juillet 2009</w:t>
      </w:r>
      <w:r w:rsidRPr="00874348">
        <w:rPr>
          <w:rFonts w:eastAsia="Times New Roman"/>
          <w:szCs w:val="24"/>
          <w:lang w:val="fr-FR"/>
        </w:rPr>
        <w:t xml:space="preserve"> et </w:t>
      </w:r>
      <w:r w:rsidRPr="00874348">
        <w:rPr>
          <w:rFonts w:eastAsia="Times New Roman"/>
          <w:i/>
          <w:lang w:val="fr-FR"/>
        </w:rPr>
        <w:t>Demopoulos et autres c. Turquie</w:t>
      </w:r>
      <w:r w:rsidRPr="00874348">
        <w:rPr>
          <w:rFonts w:eastAsia="Times New Roman"/>
          <w:lang w:val="fr-FR"/>
        </w:rPr>
        <w:t xml:space="preserve"> (déc.) [GC], n</w:t>
      </w:r>
      <w:r w:rsidRPr="00874348">
        <w:rPr>
          <w:rFonts w:eastAsia="Times New Roman"/>
          <w:vertAlign w:val="superscript"/>
          <w:lang w:val="fr-FR"/>
        </w:rPr>
        <w:t>os </w:t>
      </w:r>
      <w:hyperlink r:id="rId39" w:anchor="{&quot;appno&quot;:[&quot;46113/99&quot;]}" w:tgtFrame="_blank" w:history="1">
        <w:r w:rsidRPr="00874348">
          <w:rPr>
            <w:rFonts w:eastAsia="Times New Roman"/>
            <w:lang w:val="fr-FR"/>
          </w:rPr>
          <w:t>46113/99</w:t>
        </w:r>
      </w:hyperlink>
      <w:r w:rsidRPr="00874348">
        <w:rPr>
          <w:rFonts w:eastAsia="Times New Roman"/>
          <w:lang w:val="fr-FR"/>
        </w:rPr>
        <w:t xml:space="preserve">, </w:t>
      </w:r>
      <w:hyperlink r:id="rId40" w:anchor="{&quot;appno&quot;:[&quot;3843/02&quot;]}" w:tgtFrame="_blank" w:history="1">
        <w:r w:rsidRPr="00874348">
          <w:rPr>
            <w:rFonts w:eastAsia="Times New Roman"/>
            <w:lang w:val="fr-FR"/>
          </w:rPr>
          <w:t>3843/02</w:t>
        </w:r>
      </w:hyperlink>
      <w:r w:rsidRPr="00874348">
        <w:rPr>
          <w:rFonts w:eastAsia="Times New Roman"/>
          <w:lang w:val="fr-FR"/>
        </w:rPr>
        <w:t xml:space="preserve">, </w:t>
      </w:r>
      <w:hyperlink r:id="rId41" w:anchor="{&quot;appno&quot;:[&quot;13751/02&quot;]}" w:tgtFrame="_blank" w:history="1">
        <w:r w:rsidRPr="00874348">
          <w:rPr>
            <w:rFonts w:eastAsia="Times New Roman"/>
            <w:lang w:val="fr-FR"/>
          </w:rPr>
          <w:t>13751/02</w:t>
        </w:r>
      </w:hyperlink>
      <w:r w:rsidRPr="00874348">
        <w:rPr>
          <w:rFonts w:eastAsia="Times New Roman"/>
          <w:lang w:val="fr-FR"/>
        </w:rPr>
        <w:t xml:space="preserve">, </w:t>
      </w:r>
      <w:hyperlink r:id="rId42" w:anchor="{&quot;appno&quot;:[&quot;13466/03&quot;]}" w:tgtFrame="_blank" w:history="1">
        <w:r w:rsidRPr="00874348">
          <w:rPr>
            <w:rFonts w:eastAsia="Times New Roman"/>
            <w:lang w:val="fr-FR"/>
          </w:rPr>
          <w:t>13466/03</w:t>
        </w:r>
      </w:hyperlink>
      <w:r w:rsidRPr="00874348">
        <w:rPr>
          <w:rFonts w:eastAsia="Times New Roman"/>
          <w:lang w:val="fr-FR"/>
        </w:rPr>
        <w:t xml:space="preserve">, </w:t>
      </w:r>
      <w:hyperlink r:id="rId43" w:anchor="{&quot;appno&quot;:[&quot;10200/04&quot;]}" w:tgtFrame="_blank" w:history="1">
        <w:r w:rsidRPr="00874348">
          <w:rPr>
            <w:rFonts w:eastAsia="Times New Roman"/>
            <w:lang w:val="fr-FR"/>
          </w:rPr>
          <w:t>10200/04</w:t>
        </w:r>
      </w:hyperlink>
      <w:r w:rsidRPr="00874348">
        <w:rPr>
          <w:rFonts w:eastAsia="Times New Roman"/>
          <w:lang w:val="fr-FR"/>
        </w:rPr>
        <w:t xml:space="preserve">, </w:t>
      </w:r>
      <w:hyperlink r:id="rId44" w:anchor="{&quot;appno&quot;:[&quot;14163/04&quot;]}" w:tgtFrame="_blank" w:history="1">
        <w:r w:rsidRPr="00874348">
          <w:rPr>
            <w:rFonts w:eastAsia="Times New Roman"/>
            <w:lang w:val="fr-FR"/>
          </w:rPr>
          <w:t>14163/04</w:t>
        </w:r>
      </w:hyperlink>
      <w:r w:rsidRPr="00874348">
        <w:rPr>
          <w:rFonts w:eastAsia="Times New Roman"/>
          <w:lang w:val="fr-FR"/>
        </w:rPr>
        <w:t xml:space="preserve">, </w:t>
      </w:r>
      <w:hyperlink r:id="rId45" w:anchor="{&quot;appno&quot;:[&quot;19993/04&quot;]}" w:tgtFrame="_blank" w:history="1">
        <w:r w:rsidRPr="00874348">
          <w:rPr>
            <w:rFonts w:eastAsia="Times New Roman"/>
            <w:lang w:val="fr-FR"/>
          </w:rPr>
          <w:t>19993/04</w:t>
        </w:r>
      </w:hyperlink>
      <w:r w:rsidRPr="00874348">
        <w:rPr>
          <w:rFonts w:eastAsia="Times New Roman"/>
          <w:lang w:val="fr-FR"/>
        </w:rPr>
        <w:t xml:space="preserve"> et </w:t>
      </w:r>
      <w:hyperlink r:id="rId46" w:anchor="{&quot;appno&quot;:[&quot;21819/04&quot;]}" w:tgtFrame="_blank" w:history="1">
        <w:r w:rsidRPr="00874348">
          <w:rPr>
            <w:rFonts w:eastAsia="Times New Roman"/>
            <w:lang w:val="fr-FR"/>
          </w:rPr>
          <w:t>21819/04</w:t>
        </w:r>
      </w:hyperlink>
      <w:r w:rsidRPr="00874348">
        <w:rPr>
          <w:rFonts w:eastAsia="Times New Roman"/>
          <w:lang w:val="fr-FR"/>
        </w:rPr>
        <w:t>, CEDH 2010</w:t>
      </w:r>
      <w:r w:rsidRPr="00874348">
        <w:rPr>
          <w:rFonts w:eastAsia="Times New Roman"/>
          <w:szCs w:val="24"/>
          <w:lang w:val="fr-FR"/>
        </w:rPr>
        <w:t>).</w:t>
      </w:r>
    </w:p>
    <w:p w:rsidR="00506071" w:rsidRPr="00874348" w:rsidRDefault="00506071" w:rsidP="00874348">
      <w:pPr>
        <w:pStyle w:val="ECHRPara"/>
        <w:rPr>
          <w:rFonts w:eastAsia="Times New Roman"/>
          <w:snapToGrid w:val="0"/>
          <w:szCs w:val="24"/>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159</w:t>
      </w:r>
      <w:r w:rsidRPr="00874348">
        <w:rPr>
          <w:rFonts w:eastAsia="Times New Roman"/>
          <w:lang w:val="fr-FR"/>
        </w:rPr>
        <w:fldChar w:fldCharType="end"/>
      </w:r>
      <w:r w:rsidRPr="00874348">
        <w:rPr>
          <w:rFonts w:eastAsia="Times New Roman"/>
          <w:lang w:val="fr-FR"/>
        </w:rPr>
        <w:t>. La Cour a notamment rappelé les critères permettant de vérifier l</w:t>
      </w:r>
      <w:r w:rsidR="00874348" w:rsidRPr="00874348">
        <w:rPr>
          <w:rFonts w:eastAsia="Times New Roman"/>
          <w:lang w:val="fr-FR"/>
        </w:rPr>
        <w:t>’</w:t>
      </w:r>
      <w:r w:rsidRPr="00874348">
        <w:rPr>
          <w:rFonts w:eastAsia="Times New Roman"/>
          <w:lang w:val="fr-FR"/>
        </w:rPr>
        <w:t xml:space="preserve">effectivité de nouveaux recours indemnitaires en matière de durée excessive de procédures judiciaires (voir </w:t>
      </w:r>
      <w:r w:rsidRPr="00874348">
        <w:rPr>
          <w:rFonts w:eastAsia="Times New Roman"/>
          <w:i/>
          <w:lang w:val="fr-FR"/>
        </w:rPr>
        <w:t>Bourdov c.  Russie</w:t>
      </w:r>
      <w:r w:rsidRPr="00874348">
        <w:rPr>
          <w:rFonts w:eastAsia="Times New Roman"/>
          <w:lang w:val="fr-FR"/>
        </w:rPr>
        <w:t xml:space="preserve"> (n</w:t>
      </w:r>
      <w:r w:rsidRPr="00874348">
        <w:rPr>
          <w:rFonts w:eastAsia="Times New Roman"/>
          <w:vertAlign w:val="superscript"/>
          <w:lang w:val="fr-FR"/>
        </w:rPr>
        <w:t>o</w:t>
      </w:r>
      <w:r w:rsidRPr="00874348">
        <w:rPr>
          <w:rFonts w:eastAsia="Times New Roman"/>
          <w:lang w:val="fr-FR"/>
        </w:rPr>
        <w:t xml:space="preserve"> 2), n</w:t>
      </w:r>
      <w:r w:rsidRPr="00874348">
        <w:rPr>
          <w:rFonts w:eastAsia="Times New Roman"/>
          <w:vertAlign w:val="superscript"/>
          <w:lang w:val="fr-FR"/>
        </w:rPr>
        <w:t>o </w:t>
      </w:r>
      <w:hyperlink r:id="rId47" w:anchor="{&quot;appno&quot;:[&quot;33509/04&quot;]}" w:tgtFrame="_blank" w:history="1">
        <w:r w:rsidRPr="00874348">
          <w:rPr>
            <w:rFonts w:eastAsia="Times New Roman"/>
            <w:lang w:val="fr-FR"/>
          </w:rPr>
          <w:t>33509/04</w:t>
        </w:r>
      </w:hyperlink>
      <w:r w:rsidRPr="00874348">
        <w:rPr>
          <w:rFonts w:eastAsia="Times New Roman"/>
          <w:lang w:val="fr-FR"/>
        </w:rPr>
        <w:t xml:space="preserve">, § 127, CEDH 2009, § 99, </w:t>
      </w:r>
      <w:r w:rsidRPr="00874348">
        <w:rPr>
          <w:rFonts w:eastAsia="Times New Roman"/>
          <w:i/>
          <w:lang w:val="fr-FR"/>
        </w:rPr>
        <w:t>Scordino c. Italie</w:t>
      </w:r>
      <w:r w:rsidRPr="00874348">
        <w:rPr>
          <w:rFonts w:eastAsia="Times New Roman"/>
          <w:lang w:val="fr-FR"/>
        </w:rPr>
        <w:t xml:space="preserve"> (n</w:t>
      </w:r>
      <w:r w:rsidRPr="00874348">
        <w:rPr>
          <w:rFonts w:eastAsia="Times New Roman"/>
          <w:vertAlign w:val="superscript"/>
          <w:lang w:val="fr-FR"/>
        </w:rPr>
        <w:t>o</w:t>
      </w:r>
      <w:r w:rsidRPr="00874348">
        <w:rPr>
          <w:rFonts w:eastAsia="Times New Roman"/>
          <w:lang w:val="fr-FR"/>
        </w:rPr>
        <w:t xml:space="preserve"> 1), précité, </w:t>
      </w:r>
      <w:r w:rsidRPr="00874348">
        <w:rPr>
          <w:rFonts w:eastAsia="Times New Roman"/>
          <w:i/>
          <w:iCs/>
          <w:lang w:val="fr-FR"/>
        </w:rPr>
        <w:t xml:space="preserve">Vassilios </w:t>
      </w:r>
      <w:r w:rsidRPr="00874348">
        <w:rPr>
          <w:rFonts w:eastAsia="Times New Roman"/>
          <w:i/>
          <w:lang w:val="fr-FR"/>
        </w:rPr>
        <w:t>Athanasiou et autres c. Grèce</w:t>
      </w:r>
      <w:r w:rsidRPr="00874348">
        <w:rPr>
          <w:rFonts w:eastAsia="Times New Roman"/>
          <w:lang w:val="fr-FR"/>
        </w:rPr>
        <w:t>, n</w:t>
      </w:r>
      <w:r w:rsidRPr="00874348">
        <w:rPr>
          <w:rFonts w:eastAsia="Times New Roman"/>
          <w:vertAlign w:val="superscript"/>
          <w:lang w:val="fr-FR"/>
        </w:rPr>
        <w:t>o</w:t>
      </w:r>
      <w:r w:rsidRPr="00874348">
        <w:rPr>
          <w:rFonts w:eastAsia="Times New Roman"/>
          <w:lang w:val="fr-FR"/>
        </w:rPr>
        <w:t xml:space="preserve"> 50973/08</w:t>
      </w:r>
      <w:r w:rsidRPr="00874348">
        <w:rPr>
          <w:rFonts w:eastAsia="Times New Roman"/>
          <w:snapToGrid w:val="0"/>
          <w:szCs w:val="24"/>
          <w:lang w:val="fr-FR"/>
        </w:rPr>
        <w:t xml:space="preserve">, § 55, 21 </w:t>
      </w:r>
      <w:r w:rsidRPr="00874348">
        <w:rPr>
          <w:rFonts w:eastAsia="Times New Roman"/>
          <w:szCs w:val="24"/>
          <w:lang w:val="fr-FR"/>
        </w:rPr>
        <w:t>décembre</w:t>
      </w:r>
      <w:r w:rsidRPr="00874348">
        <w:rPr>
          <w:rFonts w:eastAsia="Times New Roman"/>
          <w:snapToGrid w:val="0"/>
          <w:szCs w:val="24"/>
          <w:lang w:val="fr-FR"/>
        </w:rPr>
        <w:t xml:space="preserve"> 2010 et </w:t>
      </w:r>
      <w:r w:rsidRPr="00874348">
        <w:rPr>
          <w:rFonts w:eastAsia="Times New Roman"/>
          <w:i/>
          <w:lang w:val="fr-FR"/>
        </w:rPr>
        <w:t>Techniki Olympiaki A.E. c. Grèce</w:t>
      </w:r>
      <w:r w:rsidRPr="00874348">
        <w:rPr>
          <w:rFonts w:eastAsia="Times New Roman"/>
          <w:lang w:val="fr-FR"/>
        </w:rPr>
        <w:t xml:space="preserve"> (déc.), n</w:t>
      </w:r>
      <w:r w:rsidRPr="00874348">
        <w:rPr>
          <w:rFonts w:eastAsia="Times New Roman"/>
          <w:vertAlign w:val="superscript"/>
          <w:lang w:val="fr-FR"/>
        </w:rPr>
        <w:t>o</w:t>
      </w:r>
      <w:r w:rsidRPr="00874348">
        <w:rPr>
          <w:rFonts w:eastAsia="Times New Roman"/>
          <w:lang w:val="fr-FR"/>
        </w:rPr>
        <w:t> </w:t>
      </w:r>
      <w:hyperlink r:id="rId48" w:anchor="{&quot;appno&quot;:[&quot;40547/10&quot;]}" w:tgtFrame="_blank" w:history="1">
        <w:r w:rsidRPr="00874348">
          <w:rPr>
            <w:rFonts w:eastAsia="Times New Roman"/>
            <w:lang w:val="fr-FR"/>
          </w:rPr>
          <w:t>40547/10</w:t>
        </w:r>
      </w:hyperlink>
      <w:r w:rsidRPr="00874348">
        <w:rPr>
          <w:rFonts w:eastAsia="Times New Roman"/>
          <w:lang w:val="fr-FR"/>
        </w:rPr>
        <w:t>, 1</w:t>
      </w:r>
      <w:r w:rsidRPr="00874348">
        <w:rPr>
          <w:rFonts w:eastAsia="Times New Roman"/>
          <w:vertAlign w:val="superscript"/>
          <w:lang w:val="fr-FR"/>
        </w:rPr>
        <w:t>er</w:t>
      </w:r>
      <w:r w:rsidRPr="00874348">
        <w:rPr>
          <w:rFonts w:eastAsia="Times New Roman"/>
          <w:lang w:val="fr-FR"/>
        </w:rPr>
        <w:t> octobre</w:t>
      </w:r>
      <w:r w:rsidR="00385ABF" w:rsidRPr="00874348">
        <w:rPr>
          <w:rFonts w:eastAsia="Times New Roman"/>
          <w:lang w:val="fr-FR"/>
        </w:rPr>
        <w:t xml:space="preserve"> </w:t>
      </w:r>
      <w:r w:rsidRPr="00874348">
        <w:rPr>
          <w:rFonts w:eastAsia="Times New Roman"/>
          <w:lang w:val="fr-FR"/>
        </w:rPr>
        <w:t>2013, § 32</w:t>
      </w:r>
      <w:r w:rsidRPr="00874348">
        <w:rPr>
          <w:rFonts w:eastAsia="Times New Roman"/>
          <w:snapToGrid w:val="0"/>
          <w:szCs w:val="24"/>
          <w:lang w:val="fr-FR"/>
        </w:rPr>
        <w:t>).</w:t>
      </w:r>
    </w:p>
    <w:p w:rsidR="00506071" w:rsidRPr="00874348" w:rsidRDefault="00506071" w:rsidP="00874348">
      <w:pPr>
        <w:pStyle w:val="ECHRPara"/>
        <w:rPr>
          <w:rFonts w:eastAsia="Times New Roman"/>
          <w:snapToGrid w:val="0"/>
          <w:szCs w:val="24"/>
          <w:lang w:val="fr-FR"/>
        </w:rPr>
      </w:pPr>
      <w:r w:rsidRPr="00874348">
        <w:rPr>
          <w:rFonts w:eastAsia="Times New Roman"/>
          <w:snapToGrid w:val="0"/>
          <w:szCs w:val="24"/>
          <w:lang w:val="fr-FR"/>
        </w:rPr>
        <w:fldChar w:fldCharType="begin"/>
      </w:r>
      <w:r w:rsidRPr="00874348">
        <w:rPr>
          <w:rFonts w:eastAsia="Times New Roman"/>
          <w:snapToGrid w:val="0"/>
          <w:szCs w:val="24"/>
          <w:lang w:val="fr-FR"/>
        </w:rPr>
        <w:instrText xml:space="preserve"> SEQ level0 \*arabic </w:instrText>
      </w:r>
      <w:r w:rsidRPr="00874348">
        <w:rPr>
          <w:rFonts w:eastAsia="Times New Roman"/>
          <w:snapToGrid w:val="0"/>
          <w:szCs w:val="24"/>
          <w:lang w:val="fr-FR"/>
        </w:rPr>
        <w:fldChar w:fldCharType="separate"/>
      </w:r>
      <w:r w:rsidR="00874348" w:rsidRPr="00874348">
        <w:rPr>
          <w:rFonts w:eastAsia="Times New Roman"/>
          <w:noProof/>
          <w:snapToGrid w:val="0"/>
          <w:szCs w:val="24"/>
          <w:lang w:val="fr-FR"/>
        </w:rPr>
        <w:t>160</w:t>
      </w:r>
      <w:r w:rsidRPr="00874348">
        <w:rPr>
          <w:rFonts w:eastAsia="Times New Roman"/>
          <w:snapToGrid w:val="0"/>
          <w:szCs w:val="24"/>
          <w:lang w:val="fr-FR"/>
        </w:rPr>
        <w:fldChar w:fldCharType="end"/>
      </w:r>
      <w:r w:rsidRPr="00874348">
        <w:rPr>
          <w:rFonts w:eastAsia="Times New Roman"/>
          <w:snapToGrid w:val="0"/>
          <w:szCs w:val="24"/>
          <w:lang w:val="fr-FR"/>
        </w:rPr>
        <w:t>.  Lesdits critères ont trait d</w:t>
      </w:r>
      <w:r w:rsidR="00874348" w:rsidRPr="00874348">
        <w:rPr>
          <w:rFonts w:eastAsia="Times New Roman"/>
          <w:snapToGrid w:val="0"/>
          <w:szCs w:val="24"/>
          <w:lang w:val="fr-FR"/>
        </w:rPr>
        <w:t>’</w:t>
      </w:r>
      <w:r w:rsidRPr="00874348">
        <w:rPr>
          <w:rFonts w:eastAsia="Times New Roman"/>
          <w:snapToGrid w:val="0"/>
          <w:szCs w:val="24"/>
          <w:lang w:val="fr-FR"/>
        </w:rPr>
        <w:t>une part à des garanties procédurales et, de l</w:t>
      </w:r>
      <w:r w:rsidR="00874348" w:rsidRPr="00874348">
        <w:rPr>
          <w:rFonts w:eastAsia="Times New Roman"/>
          <w:snapToGrid w:val="0"/>
          <w:szCs w:val="24"/>
          <w:lang w:val="fr-FR"/>
        </w:rPr>
        <w:t>’</w:t>
      </w:r>
      <w:r w:rsidRPr="00874348">
        <w:rPr>
          <w:rFonts w:eastAsia="Times New Roman"/>
          <w:snapToGrid w:val="0"/>
          <w:szCs w:val="24"/>
          <w:lang w:val="fr-FR"/>
        </w:rPr>
        <w:t>autre part, au calcul et au payement de la réparation pécuniaire. En ce qui concerne le montant des indemnités, celui-ci ne doit pas être insuffisant par rapport aux sommes octroyées par la Cour dans des affaires similaires.</w:t>
      </w:r>
    </w:p>
    <w:p w:rsidR="00506071" w:rsidRPr="00874348" w:rsidRDefault="006565C8" w:rsidP="00874348">
      <w:pPr>
        <w:pStyle w:val="ECHRHeading4"/>
        <w:rPr>
          <w:rFonts w:eastAsia="Times New Roman"/>
          <w:snapToGrid w:val="0"/>
          <w:lang w:val="fr-FR"/>
        </w:rPr>
      </w:pPr>
      <w:r w:rsidRPr="00874348">
        <w:rPr>
          <w:rFonts w:eastAsia="Times New Roman"/>
          <w:snapToGrid w:val="0"/>
          <w:lang w:val="fr-FR"/>
        </w:rPr>
        <w:lastRenderedPageBreak/>
        <w:t>b)  </w:t>
      </w:r>
      <w:r w:rsidR="00506071" w:rsidRPr="00874348">
        <w:rPr>
          <w:rFonts w:eastAsia="Times New Roman"/>
          <w:snapToGrid w:val="0"/>
          <w:lang w:val="fr-FR"/>
        </w:rPr>
        <w:t>L</w:t>
      </w:r>
      <w:r w:rsidR="00874348" w:rsidRPr="00874348">
        <w:rPr>
          <w:rFonts w:eastAsia="Times New Roman"/>
          <w:snapToGrid w:val="0"/>
          <w:lang w:val="fr-FR"/>
        </w:rPr>
        <w:t>’</w:t>
      </w:r>
      <w:r w:rsidR="00506071" w:rsidRPr="00874348">
        <w:rPr>
          <w:rFonts w:eastAsia="Times New Roman"/>
          <w:snapToGrid w:val="0"/>
          <w:lang w:val="fr-FR"/>
        </w:rPr>
        <w:t>application de ces principes en l</w:t>
      </w:r>
      <w:r w:rsidR="00874348" w:rsidRPr="00874348">
        <w:rPr>
          <w:rFonts w:eastAsia="Times New Roman"/>
          <w:snapToGrid w:val="0"/>
          <w:lang w:val="fr-FR"/>
        </w:rPr>
        <w:t>’</w:t>
      </w:r>
      <w:r w:rsidR="00506071" w:rsidRPr="00874348">
        <w:rPr>
          <w:rFonts w:eastAsia="Times New Roman"/>
          <w:snapToGrid w:val="0"/>
          <w:lang w:val="fr-FR"/>
        </w:rPr>
        <w:t>espèce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161</w:t>
      </w:r>
      <w:r w:rsidRPr="00874348">
        <w:rPr>
          <w:rFonts w:eastAsia="Times New Roman"/>
          <w:lang w:val="fr-FR"/>
        </w:rPr>
        <w:fldChar w:fldCharType="end"/>
      </w:r>
      <w:r w:rsidRPr="00874348">
        <w:rPr>
          <w:rFonts w:eastAsia="Times New Roman"/>
          <w:lang w:val="fr-FR"/>
        </w:rPr>
        <w:t>.  La Cour se réfère d</w:t>
      </w:r>
      <w:r w:rsidR="00874348" w:rsidRPr="00874348">
        <w:rPr>
          <w:rFonts w:eastAsia="Times New Roman"/>
          <w:lang w:val="fr-FR"/>
        </w:rPr>
        <w:t>’</w:t>
      </w:r>
      <w:r w:rsidRPr="00874348">
        <w:rPr>
          <w:rFonts w:eastAsia="Times New Roman"/>
          <w:lang w:val="fr-FR"/>
        </w:rPr>
        <w:t>abord au principe général selon lequel l</w:t>
      </w:r>
      <w:r w:rsidR="00874348" w:rsidRPr="00874348">
        <w:rPr>
          <w:rFonts w:eastAsia="Times New Roman"/>
          <w:lang w:val="fr-FR"/>
        </w:rPr>
        <w:t>’</w:t>
      </w:r>
      <w:r w:rsidRPr="00874348">
        <w:rPr>
          <w:rFonts w:eastAsia="Times New Roman"/>
          <w:lang w:val="fr-FR"/>
        </w:rPr>
        <w:t>épuisement des voies de recours internes s</w:t>
      </w:r>
      <w:r w:rsidR="00874348" w:rsidRPr="00874348">
        <w:rPr>
          <w:rFonts w:eastAsia="Times New Roman"/>
          <w:lang w:val="fr-FR"/>
        </w:rPr>
        <w:t>’</w:t>
      </w:r>
      <w:r w:rsidRPr="00874348">
        <w:rPr>
          <w:rFonts w:eastAsia="Times New Roman"/>
          <w:lang w:val="fr-FR"/>
        </w:rPr>
        <w:t>apprécie normalement à la date d</w:t>
      </w:r>
      <w:r w:rsidR="00874348" w:rsidRPr="00874348">
        <w:rPr>
          <w:rFonts w:eastAsia="Times New Roman"/>
          <w:lang w:val="fr-FR"/>
        </w:rPr>
        <w:t>’</w:t>
      </w:r>
      <w:r w:rsidRPr="00874348">
        <w:rPr>
          <w:rFonts w:eastAsia="Times New Roman"/>
          <w:lang w:val="fr-FR"/>
        </w:rPr>
        <w:t xml:space="preserve">introduction de la requête devant elle (rappelé au paragraphe 157 ci-dessus). Elle </w:t>
      </w:r>
      <w:r w:rsidRPr="00874348">
        <w:rPr>
          <w:rFonts w:eastAsia="Times New Roman"/>
          <w:bCs/>
          <w:lang w:val="fr-FR"/>
        </w:rPr>
        <w:t xml:space="preserve">estime que </w:t>
      </w:r>
      <w:r w:rsidRPr="00874348">
        <w:rPr>
          <w:rFonts w:eastAsia="Times New Roman"/>
          <w:lang w:val="fr-FR"/>
        </w:rPr>
        <w:t>plusieurs éléments dans les cas d</w:t>
      </w:r>
      <w:r w:rsidR="00874348" w:rsidRPr="00874348">
        <w:rPr>
          <w:rFonts w:eastAsia="Times New Roman"/>
          <w:lang w:val="fr-FR"/>
        </w:rPr>
        <w:t>’</w:t>
      </w:r>
      <w:r w:rsidRPr="00874348">
        <w:rPr>
          <w:rFonts w:eastAsia="Times New Roman"/>
          <w:lang w:val="fr-FR"/>
        </w:rPr>
        <w:t>espèce justifient une exception à cette règle.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162</w:t>
      </w:r>
      <w:r w:rsidRPr="00874348">
        <w:rPr>
          <w:rFonts w:eastAsia="Times New Roman"/>
          <w:lang w:val="fr-FR"/>
        </w:rPr>
        <w:fldChar w:fldCharType="end"/>
      </w:r>
      <w:r w:rsidRPr="00874348">
        <w:rPr>
          <w:rFonts w:eastAsia="Times New Roman"/>
          <w:lang w:val="fr-FR"/>
        </w:rPr>
        <w:t>.  La Cour relève d</w:t>
      </w:r>
      <w:r w:rsidR="00874348" w:rsidRPr="00874348">
        <w:rPr>
          <w:rFonts w:eastAsia="Times New Roman"/>
          <w:lang w:val="fr-FR"/>
        </w:rPr>
        <w:t>’</w:t>
      </w:r>
      <w:r w:rsidRPr="00874348">
        <w:rPr>
          <w:rFonts w:eastAsia="Times New Roman"/>
          <w:lang w:val="fr-FR"/>
        </w:rPr>
        <w:t>abord le nombre élevé de personnes intéressées à clôturer leurs affaires civiles en dédommagement (environ 7 000 sur le plan interne). L</w:t>
      </w:r>
      <w:r w:rsidR="00874348" w:rsidRPr="00874348">
        <w:rPr>
          <w:rFonts w:eastAsia="Times New Roman"/>
          <w:lang w:val="fr-FR"/>
        </w:rPr>
        <w:t>’</w:t>
      </w:r>
      <w:r w:rsidRPr="00874348">
        <w:rPr>
          <w:rFonts w:eastAsia="Times New Roman"/>
          <w:lang w:val="fr-FR"/>
        </w:rPr>
        <w:t>adoption du décret-loi n</w:t>
      </w:r>
      <w:r w:rsidRPr="00874348">
        <w:rPr>
          <w:rFonts w:eastAsia="Times New Roman"/>
          <w:vertAlign w:val="superscript"/>
          <w:lang w:val="fr-FR"/>
        </w:rPr>
        <w:t>o</w:t>
      </w:r>
      <w:r w:rsidRPr="00874348">
        <w:rPr>
          <w:rFonts w:eastAsia="Times New Roman"/>
          <w:lang w:val="fr-FR"/>
        </w:rPr>
        <w:t xml:space="preserve"> 90/2014 s</w:t>
      </w:r>
      <w:r w:rsidR="00874348" w:rsidRPr="00874348">
        <w:rPr>
          <w:rFonts w:eastAsia="Times New Roman"/>
          <w:lang w:val="fr-FR"/>
        </w:rPr>
        <w:t>’</w:t>
      </w:r>
      <w:r w:rsidRPr="00874348">
        <w:rPr>
          <w:rFonts w:eastAsia="Times New Roman"/>
          <w:lang w:val="fr-FR"/>
        </w:rPr>
        <w:t>inscrit donc dans la logique de trouver une solution à un contentieux dont les proportions et les enjeux sont importants.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163</w:t>
      </w:r>
      <w:r w:rsidRPr="00874348">
        <w:rPr>
          <w:rFonts w:eastAsia="Times New Roman"/>
          <w:lang w:val="fr-FR"/>
        </w:rPr>
        <w:fldChar w:fldCharType="end"/>
      </w:r>
      <w:r w:rsidRPr="00874348">
        <w:rPr>
          <w:rFonts w:eastAsia="Times New Roman"/>
          <w:lang w:val="fr-FR"/>
        </w:rPr>
        <w:t>.  Elle remarque en outre que le traitement de la matière en objet demande une diligence et une rapidité particulières car celle-ci tient à la réparation de préjudices résultant d</w:t>
      </w:r>
      <w:r w:rsidR="00874348" w:rsidRPr="00874348">
        <w:rPr>
          <w:rFonts w:eastAsia="Times New Roman"/>
          <w:lang w:val="fr-FR"/>
        </w:rPr>
        <w:t>’</w:t>
      </w:r>
      <w:r w:rsidRPr="00874348">
        <w:rPr>
          <w:rFonts w:eastAsia="Times New Roman"/>
          <w:lang w:val="fr-FR"/>
        </w:rPr>
        <w:t>infections post-transfusionnelles.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164</w:t>
      </w:r>
      <w:r w:rsidRPr="00874348">
        <w:rPr>
          <w:rFonts w:eastAsia="Times New Roman"/>
          <w:lang w:val="fr-FR"/>
        </w:rPr>
        <w:fldChar w:fldCharType="end"/>
      </w:r>
      <w:r w:rsidRPr="00874348">
        <w:rPr>
          <w:rFonts w:eastAsia="Times New Roman"/>
          <w:lang w:val="fr-FR"/>
        </w:rPr>
        <w:t>.  Troisièmement, il y a lieu de considérer l</w:t>
      </w:r>
      <w:r w:rsidR="00874348" w:rsidRPr="00874348">
        <w:rPr>
          <w:rFonts w:eastAsia="Times New Roman"/>
          <w:lang w:val="fr-FR"/>
        </w:rPr>
        <w:t>’</w:t>
      </w:r>
      <w:r w:rsidRPr="00874348">
        <w:rPr>
          <w:rFonts w:eastAsia="Times New Roman"/>
          <w:lang w:val="fr-FR"/>
        </w:rPr>
        <w:t>objectif des procédures dans lesquelles le nouveau remède s</w:t>
      </w:r>
      <w:r w:rsidR="00874348" w:rsidRPr="00874348">
        <w:rPr>
          <w:rFonts w:eastAsia="Times New Roman"/>
          <w:lang w:val="fr-FR"/>
        </w:rPr>
        <w:t>’</w:t>
      </w:r>
      <w:r w:rsidRPr="00874348">
        <w:rPr>
          <w:rFonts w:eastAsia="Times New Roman"/>
          <w:lang w:val="fr-FR"/>
        </w:rPr>
        <w:t>inscrit, à savoir des règlements amiables d</w:t>
      </w:r>
      <w:r w:rsidR="00874348" w:rsidRPr="00874348">
        <w:rPr>
          <w:rFonts w:eastAsia="Times New Roman"/>
          <w:lang w:val="fr-FR"/>
        </w:rPr>
        <w:t>’</w:t>
      </w:r>
      <w:r w:rsidRPr="00874348">
        <w:rPr>
          <w:rFonts w:eastAsia="Times New Roman"/>
          <w:lang w:val="fr-FR"/>
        </w:rPr>
        <w:t>affaires civiles déjà instaurées. À travers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le législateur propose de clore ces règlements par l</w:t>
      </w:r>
      <w:r w:rsidR="00874348" w:rsidRPr="00874348">
        <w:rPr>
          <w:rFonts w:eastAsia="Times New Roman"/>
          <w:lang w:val="fr-FR"/>
        </w:rPr>
        <w:t>’</w:t>
      </w:r>
      <w:r w:rsidRPr="00874348">
        <w:rPr>
          <w:rFonts w:eastAsia="Times New Roman"/>
          <w:lang w:val="fr-FR"/>
        </w:rPr>
        <w:t>acceptation d</w:t>
      </w:r>
      <w:r w:rsidR="00874348" w:rsidRPr="00874348">
        <w:rPr>
          <w:rFonts w:eastAsia="Times New Roman"/>
          <w:lang w:val="fr-FR"/>
        </w:rPr>
        <w:t>’</w:t>
      </w:r>
      <w:r w:rsidRPr="00874348">
        <w:rPr>
          <w:rFonts w:eastAsia="Times New Roman"/>
          <w:lang w:val="fr-FR"/>
        </w:rPr>
        <w:t>un montant à titre de satisfaction équitable (dont l</w:t>
      </w:r>
      <w:r w:rsidR="00874348" w:rsidRPr="00874348">
        <w:rPr>
          <w:rFonts w:eastAsia="Times New Roman"/>
          <w:lang w:val="fr-FR"/>
        </w:rPr>
        <w:t>’</w:t>
      </w:r>
      <w:r w:rsidRPr="00874348">
        <w:rPr>
          <w:rFonts w:eastAsia="Times New Roman"/>
          <w:lang w:val="fr-FR"/>
        </w:rPr>
        <w:t>accessibilité, le caractère adéquat et les modalités de traitements des demandes y relatives seront analysés ci-dessous). Le but est donc celui de clôturer un contentieux qui perdure depuis des années.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165</w:t>
      </w:r>
      <w:r w:rsidRPr="00874348">
        <w:rPr>
          <w:rFonts w:eastAsia="Times New Roman"/>
          <w:lang w:val="fr-FR"/>
        </w:rPr>
        <w:fldChar w:fldCharType="end"/>
      </w:r>
      <w:r w:rsidRPr="00874348">
        <w:rPr>
          <w:rFonts w:eastAsia="Times New Roman"/>
          <w:lang w:val="fr-FR"/>
        </w:rPr>
        <w:t>.  La Cour observe ensuite que,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le Gouvernement a mis en place un remède interne permettant d</w:t>
      </w:r>
      <w:r w:rsidR="00874348" w:rsidRPr="00874348">
        <w:rPr>
          <w:rFonts w:eastAsia="Times New Roman"/>
          <w:lang w:val="fr-FR"/>
        </w:rPr>
        <w:t>’</w:t>
      </w:r>
      <w:r w:rsidRPr="00874348">
        <w:rPr>
          <w:rFonts w:eastAsia="Times New Roman"/>
          <w:lang w:val="fr-FR"/>
        </w:rPr>
        <w:t>octroyer une réparation pécuniaire aux personnes ayant introduit une demande d</w:t>
      </w:r>
      <w:r w:rsidR="00874348" w:rsidRPr="00874348">
        <w:rPr>
          <w:rFonts w:eastAsia="Times New Roman"/>
          <w:lang w:val="fr-FR"/>
        </w:rPr>
        <w:t>’</w:t>
      </w:r>
      <w:r w:rsidRPr="00874348">
        <w:rPr>
          <w:rFonts w:eastAsia="Times New Roman"/>
          <w:lang w:val="fr-FR"/>
        </w:rPr>
        <w:t>adhésion aux transactions d</w:t>
      </w:r>
      <w:r w:rsidR="00874348" w:rsidRPr="00874348">
        <w:rPr>
          <w:rFonts w:eastAsia="Times New Roman"/>
          <w:lang w:val="fr-FR"/>
        </w:rPr>
        <w:t>’</w:t>
      </w:r>
      <w:r w:rsidRPr="00874348">
        <w:rPr>
          <w:rFonts w:eastAsia="Times New Roman"/>
          <w:lang w:val="fr-FR"/>
        </w:rPr>
        <w:t xml:space="preserve">affaires entamées, par eux-mêmes ou par leur </w:t>
      </w:r>
      <w:r w:rsidRPr="00874348">
        <w:rPr>
          <w:rFonts w:eastAsia="Times New Roman"/>
          <w:i/>
          <w:lang w:val="fr-FR"/>
        </w:rPr>
        <w:t>de cujus</w:t>
      </w:r>
      <w:r w:rsidRPr="00874348">
        <w:rPr>
          <w:rFonts w:eastAsia="Times New Roman"/>
          <w:lang w:val="fr-FR"/>
        </w:rPr>
        <w:t>, en vue d</w:t>
      </w:r>
      <w:r w:rsidR="00874348" w:rsidRPr="00874348">
        <w:rPr>
          <w:rFonts w:eastAsia="Times New Roman"/>
          <w:lang w:val="fr-FR"/>
        </w:rPr>
        <w:t>’</w:t>
      </w:r>
      <w:r w:rsidRPr="00874348">
        <w:rPr>
          <w:rFonts w:eastAsia="Times New Roman"/>
          <w:lang w:val="fr-FR"/>
        </w:rPr>
        <w:t>obtenir un dédommagement des préjudices résultants d</w:t>
      </w:r>
      <w:r w:rsidR="00874348" w:rsidRPr="00874348">
        <w:rPr>
          <w:rFonts w:eastAsia="Times New Roman"/>
          <w:lang w:val="fr-FR"/>
        </w:rPr>
        <w:t>’</w:t>
      </w:r>
      <w:r w:rsidRPr="00874348">
        <w:rPr>
          <w:rFonts w:eastAsia="Times New Roman"/>
          <w:lang w:val="fr-FR"/>
        </w:rPr>
        <w:t>infections post-transfusionnelles.</w:t>
      </w:r>
    </w:p>
    <w:p w:rsidR="00506071" w:rsidRPr="00874348" w:rsidRDefault="00506071" w:rsidP="00874348">
      <w:pPr>
        <w:pStyle w:val="ECHRPara"/>
        <w:rPr>
          <w:rFonts w:eastAsia="Times New Roman"/>
          <w:snapToGrid w:val="0"/>
          <w:szCs w:val="24"/>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166</w:t>
      </w:r>
      <w:r w:rsidRPr="00874348">
        <w:rPr>
          <w:rFonts w:eastAsia="Times New Roman"/>
          <w:lang w:val="fr-FR"/>
        </w:rPr>
        <w:fldChar w:fldCharType="end"/>
      </w:r>
      <w:r w:rsidRPr="00874348">
        <w:rPr>
          <w:rFonts w:eastAsia="Times New Roman"/>
          <w:lang w:val="fr-FR"/>
        </w:rPr>
        <w:t>.  C</w:t>
      </w:r>
      <w:r w:rsidRPr="00874348">
        <w:rPr>
          <w:rFonts w:eastAsia="Times New Roman"/>
          <w:snapToGrid w:val="0"/>
          <w:szCs w:val="24"/>
          <w:lang w:val="fr-FR"/>
        </w:rPr>
        <w:t>e remède diffère en partie des recours dont la Cour a examiné l</w:t>
      </w:r>
      <w:r w:rsidR="00874348" w:rsidRPr="00874348">
        <w:rPr>
          <w:rFonts w:eastAsia="Times New Roman"/>
          <w:snapToGrid w:val="0"/>
          <w:szCs w:val="24"/>
          <w:lang w:val="fr-FR"/>
        </w:rPr>
        <w:t>’</w:t>
      </w:r>
      <w:r w:rsidRPr="00874348">
        <w:rPr>
          <w:rFonts w:eastAsia="Times New Roman"/>
          <w:snapToGrid w:val="0"/>
          <w:szCs w:val="24"/>
          <w:lang w:val="fr-FR"/>
        </w:rPr>
        <w:t>effectivité dans les affaires citées auparavant (</w:t>
      </w:r>
      <w:r w:rsidRPr="00874348">
        <w:rPr>
          <w:rFonts w:eastAsia="Times New Roman"/>
          <w:i/>
          <w:lang w:val="fr-FR"/>
        </w:rPr>
        <w:t>Scordino c. Italie</w:t>
      </w:r>
      <w:r w:rsidRPr="00874348">
        <w:rPr>
          <w:rFonts w:eastAsia="Times New Roman"/>
          <w:lang w:val="fr-FR"/>
        </w:rPr>
        <w:t xml:space="preserve"> (n</w:t>
      </w:r>
      <w:r w:rsidRPr="00874348">
        <w:rPr>
          <w:rFonts w:eastAsia="Times New Roman"/>
          <w:vertAlign w:val="superscript"/>
          <w:lang w:val="fr-FR"/>
        </w:rPr>
        <w:t>o</w:t>
      </w:r>
      <w:r w:rsidRPr="00874348">
        <w:rPr>
          <w:rFonts w:eastAsia="Times New Roman"/>
          <w:lang w:val="fr-FR"/>
        </w:rPr>
        <w:t xml:space="preserve"> 1) et </w:t>
      </w:r>
      <w:r w:rsidRPr="00874348">
        <w:rPr>
          <w:rFonts w:eastAsia="Times New Roman"/>
          <w:i/>
          <w:lang w:val="fr-FR"/>
        </w:rPr>
        <w:t>Athanasiou et autres c. Grèce</w:t>
      </w:r>
      <w:r w:rsidRPr="00874348">
        <w:rPr>
          <w:rFonts w:eastAsia="Times New Roman"/>
          <w:snapToGrid w:val="0"/>
          <w:szCs w:val="24"/>
          <w:lang w:val="fr-FR"/>
        </w:rPr>
        <w:t>, précités) car, premièrement, il s</w:t>
      </w:r>
      <w:r w:rsidR="00874348" w:rsidRPr="00874348">
        <w:rPr>
          <w:rFonts w:eastAsia="Times New Roman"/>
          <w:snapToGrid w:val="0"/>
          <w:szCs w:val="24"/>
          <w:lang w:val="fr-FR"/>
        </w:rPr>
        <w:t>’</w:t>
      </w:r>
      <w:r w:rsidRPr="00874348">
        <w:rPr>
          <w:rFonts w:eastAsia="Times New Roman"/>
          <w:snapToGrid w:val="0"/>
          <w:szCs w:val="24"/>
          <w:lang w:val="fr-FR"/>
        </w:rPr>
        <w:t>inscrit dans le cadre d</w:t>
      </w:r>
      <w:r w:rsidR="00874348" w:rsidRPr="00874348">
        <w:rPr>
          <w:rFonts w:eastAsia="Times New Roman"/>
          <w:snapToGrid w:val="0"/>
          <w:szCs w:val="24"/>
          <w:lang w:val="fr-FR"/>
        </w:rPr>
        <w:t>’</w:t>
      </w:r>
      <w:r w:rsidRPr="00874348">
        <w:rPr>
          <w:rFonts w:eastAsia="Times New Roman"/>
          <w:snapToGrid w:val="0"/>
          <w:szCs w:val="24"/>
          <w:lang w:val="fr-FR"/>
        </w:rPr>
        <w:t>une demande de transaction de procédures pendantes et, deuxièmement, il prévoit l</w:t>
      </w:r>
      <w:r w:rsidR="00874348" w:rsidRPr="00874348">
        <w:rPr>
          <w:rFonts w:eastAsia="Times New Roman"/>
          <w:snapToGrid w:val="0"/>
          <w:szCs w:val="24"/>
          <w:lang w:val="fr-FR"/>
        </w:rPr>
        <w:t>’</w:t>
      </w:r>
      <w:r w:rsidRPr="00874348">
        <w:rPr>
          <w:rFonts w:eastAsia="Times New Roman"/>
          <w:snapToGrid w:val="0"/>
          <w:szCs w:val="24"/>
          <w:lang w:val="fr-FR"/>
        </w:rPr>
        <w:t>octroi d</w:t>
      </w:r>
      <w:r w:rsidR="00874348" w:rsidRPr="00874348">
        <w:rPr>
          <w:rFonts w:eastAsia="Times New Roman"/>
          <w:snapToGrid w:val="0"/>
          <w:szCs w:val="24"/>
          <w:lang w:val="fr-FR"/>
        </w:rPr>
        <w:t>’</w:t>
      </w:r>
      <w:r w:rsidRPr="00874348">
        <w:rPr>
          <w:rFonts w:eastAsia="Times New Roman"/>
          <w:snapToGrid w:val="0"/>
          <w:szCs w:val="24"/>
          <w:lang w:val="fr-FR"/>
        </w:rPr>
        <w:t>une somme préétablie, 100 000 EUR dans le cas des requérants, en vue de clôturer lesdites procédures. L</w:t>
      </w:r>
      <w:r w:rsidR="00874348" w:rsidRPr="00874348">
        <w:rPr>
          <w:rFonts w:eastAsia="Times New Roman"/>
          <w:snapToGrid w:val="0"/>
          <w:szCs w:val="24"/>
          <w:lang w:val="fr-FR"/>
        </w:rPr>
        <w:t>’</w:t>
      </w:r>
      <w:r w:rsidRPr="00874348">
        <w:rPr>
          <w:rFonts w:eastAsia="Times New Roman"/>
          <w:snapToGrid w:val="0"/>
          <w:szCs w:val="24"/>
          <w:lang w:val="fr-FR"/>
        </w:rPr>
        <w:t>octroi de ces sommes n</w:t>
      </w:r>
      <w:r w:rsidR="00874348" w:rsidRPr="00874348">
        <w:rPr>
          <w:rFonts w:eastAsia="Times New Roman"/>
          <w:snapToGrid w:val="0"/>
          <w:szCs w:val="24"/>
          <w:lang w:val="fr-FR"/>
        </w:rPr>
        <w:t>’</w:t>
      </w:r>
      <w:r w:rsidRPr="00874348">
        <w:rPr>
          <w:rFonts w:eastAsia="Times New Roman"/>
          <w:snapToGrid w:val="0"/>
          <w:szCs w:val="24"/>
          <w:lang w:val="fr-FR"/>
        </w:rPr>
        <w:t>est donc pas lié à l</w:t>
      </w:r>
      <w:r w:rsidR="00874348" w:rsidRPr="00874348">
        <w:rPr>
          <w:rFonts w:eastAsia="Times New Roman"/>
          <w:snapToGrid w:val="0"/>
          <w:szCs w:val="24"/>
          <w:lang w:val="fr-FR"/>
        </w:rPr>
        <w:t>’</w:t>
      </w:r>
      <w:r w:rsidRPr="00874348">
        <w:rPr>
          <w:rFonts w:eastAsia="Times New Roman"/>
          <w:snapToGrid w:val="0"/>
          <w:szCs w:val="24"/>
          <w:lang w:val="fr-FR"/>
        </w:rPr>
        <w:t>issue d</w:t>
      </w:r>
      <w:r w:rsidR="00874348" w:rsidRPr="00874348">
        <w:rPr>
          <w:rFonts w:eastAsia="Times New Roman"/>
          <w:snapToGrid w:val="0"/>
          <w:szCs w:val="24"/>
          <w:lang w:val="fr-FR"/>
        </w:rPr>
        <w:t>’</w:t>
      </w:r>
      <w:r w:rsidRPr="00874348">
        <w:rPr>
          <w:rFonts w:eastAsia="Times New Roman"/>
          <w:snapToGrid w:val="0"/>
          <w:szCs w:val="24"/>
          <w:lang w:val="fr-FR"/>
        </w:rPr>
        <w:t>une nouvelle procédure indemnitaire mais à la simple présentation d</w:t>
      </w:r>
      <w:r w:rsidR="00874348" w:rsidRPr="00874348">
        <w:rPr>
          <w:rFonts w:eastAsia="Times New Roman"/>
          <w:snapToGrid w:val="0"/>
          <w:szCs w:val="24"/>
          <w:lang w:val="fr-FR"/>
        </w:rPr>
        <w:t>’</w:t>
      </w:r>
      <w:r w:rsidRPr="00874348">
        <w:rPr>
          <w:rFonts w:eastAsia="Times New Roman"/>
          <w:snapToGrid w:val="0"/>
          <w:szCs w:val="24"/>
          <w:lang w:val="fr-FR"/>
        </w:rPr>
        <w:t>une demande, dans le respect des conditions prévues par la loi.</w:t>
      </w:r>
    </w:p>
    <w:p w:rsidR="00506071" w:rsidRPr="00874348" w:rsidRDefault="00506071" w:rsidP="00874348">
      <w:pPr>
        <w:pStyle w:val="ECHRPara"/>
        <w:rPr>
          <w:rFonts w:eastAsia="Times New Roman"/>
          <w:snapToGrid w:val="0"/>
          <w:szCs w:val="24"/>
          <w:lang w:val="fr-FR"/>
        </w:rPr>
      </w:pPr>
      <w:r w:rsidRPr="00874348">
        <w:rPr>
          <w:rFonts w:eastAsia="Times New Roman"/>
          <w:snapToGrid w:val="0"/>
          <w:szCs w:val="24"/>
          <w:lang w:val="fr-FR"/>
        </w:rPr>
        <w:fldChar w:fldCharType="begin"/>
      </w:r>
      <w:r w:rsidRPr="00874348">
        <w:rPr>
          <w:rFonts w:eastAsia="Times New Roman"/>
          <w:snapToGrid w:val="0"/>
          <w:szCs w:val="24"/>
          <w:lang w:val="fr-FR"/>
        </w:rPr>
        <w:instrText xml:space="preserve"> SEQ level0 \*arabic </w:instrText>
      </w:r>
      <w:r w:rsidRPr="00874348">
        <w:rPr>
          <w:rFonts w:eastAsia="Times New Roman"/>
          <w:snapToGrid w:val="0"/>
          <w:szCs w:val="24"/>
          <w:lang w:val="fr-FR"/>
        </w:rPr>
        <w:fldChar w:fldCharType="separate"/>
      </w:r>
      <w:r w:rsidR="00874348" w:rsidRPr="00874348">
        <w:rPr>
          <w:rFonts w:eastAsia="Times New Roman"/>
          <w:noProof/>
          <w:snapToGrid w:val="0"/>
          <w:szCs w:val="24"/>
          <w:lang w:val="fr-FR"/>
        </w:rPr>
        <w:t>167</w:t>
      </w:r>
      <w:r w:rsidRPr="00874348">
        <w:rPr>
          <w:rFonts w:eastAsia="Times New Roman"/>
          <w:snapToGrid w:val="0"/>
          <w:szCs w:val="24"/>
          <w:lang w:val="fr-FR"/>
        </w:rPr>
        <w:fldChar w:fldCharType="end"/>
      </w:r>
      <w:r w:rsidRPr="00874348">
        <w:rPr>
          <w:rFonts w:eastAsia="Times New Roman"/>
          <w:snapToGrid w:val="0"/>
          <w:szCs w:val="24"/>
          <w:lang w:val="fr-FR"/>
        </w:rPr>
        <w:t>.  Dans le cas d</w:t>
      </w:r>
      <w:r w:rsidR="00874348" w:rsidRPr="00874348">
        <w:rPr>
          <w:rFonts w:eastAsia="Times New Roman"/>
          <w:snapToGrid w:val="0"/>
          <w:szCs w:val="24"/>
          <w:lang w:val="fr-FR"/>
        </w:rPr>
        <w:t>’</w:t>
      </w:r>
      <w:r w:rsidRPr="00874348">
        <w:rPr>
          <w:rFonts w:eastAsia="Times New Roman"/>
          <w:snapToGrid w:val="0"/>
          <w:szCs w:val="24"/>
          <w:lang w:val="fr-FR"/>
        </w:rPr>
        <w:t>espèce, afin de vérifier si le nouveau remède compensatoire peut être considéré comme étant un recours à épuiser au sens de l</w:t>
      </w:r>
      <w:r w:rsidR="00874348" w:rsidRPr="00874348">
        <w:rPr>
          <w:rFonts w:eastAsia="Times New Roman"/>
          <w:snapToGrid w:val="0"/>
          <w:szCs w:val="24"/>
          <w:lang w:val="fr-FR"/>
        </w:rPr>
        <w:t>’</w:t>
      </w:r>
      <w:r w:rsidRPr="00874348">
        <w:rPr>
          <w:rFonts w:eastAsia="Times New Roman"/>
          <w:snapToGrid w:val="0"/>
          <w:szCs w:val="24"/>
          <w:lang w:val="fr-FR"/>
        </w:rPr>
        <w:t>article 35 § 1 de la Convention, la Cour fera appel aux critères suivants : i) l</w:t>
      </w:r>
      <w:r w:rsidR="00874348" w:rsidRPr="00874348">
        <w:rPr>
          <w:rFonts w:eastAsia="Times New Roman"/>
          <w:snapToGrid w:val="0"/>
          <w:szCs w:val="24"/>
          <w:lang w:val="fr-FR"/>
        </w:rPr>
        <w:t>’</w:t>
      </w:r>
      <w:r w:rsidRPr="00874348">
        <w:rPr>
          <w:rFonts w:eastAsia="Times New Roman"/>
          <w:snapToGrid w:val="0"/>
          <w:szCs w:val="24"/>
          <w:lang w:val="fr-FR"/>
        </w:rPr>
        <w:t>accessibilité au remède en cause, ii) le caractère adéquat de l</w:t>
      </w:r>
      <w:r w:rsidR="00874348" w:rsidRPr="00874348">
        <w:rPr>
          <w:rFonts w:eastAsia="Times New Roman"/>
          <w:snapToGrid w:val="0"/>
          <w:szCs w:val="24"/>
          <w:lang w:val="fr-FR"/>
        </w:rPr>
        <w:t>’</w:t>
      </w:r>
      <w:r w:rsidRPr="00874348">
        <w:rPr>
          <w:rFonts w:eastAsia="Times New Roman"/>
          <w:snapToGrid w:val="0"/>
          <w:szCs w:val="24"/>
          <w:lang w:val="fr-FR"/>
        </w:rPr>
        <w:t>indemnisation offerte par le Gouvernement et iii) les modalités de traitement des demandes formulées par les requérants, telles que fixées par la loi.</w:t>
      </w:r>
    </w:p>
    <w:p w:rsidR="00506071" w:rsidRPr="00874348" w:rsidRDefault="00506071" w:rsidP="00874348">
      <w:pPr>
        <w:pStyle w:val="ECHRHeading5"/>
        <w:rPr>
          <w:rFonts w:eastAsia="Times New Roman"/>
          <w:snapToGrid w:val="0"/>
          <w:lang w:val="fr-FR"/>
        </w:rPr>
      </w:pPr>
      <w:r w:rsidRPr="00874348">
        <w:rPr>
          <w:rFonts w:eastAsia="Times New Roman"/>
          <w:snapToGrid w:val="0"/>
          <w:lang w:val="fr-FR"/>
        </w:rPr>
        <w:lastRenderedPageBreak/>
        <w:t>i</w:t>
      </w:r>
      <w:r w:rsidR="004948A4" w:rsidRPr="00874348">
        <w:rPr>
          <w:rFonts w:eastAsia="Times New Roman"/>
          <w:snapToGrid w:val="0"/>
          <w:lang w:val="fr-FR"/>
        </w:rPr>
        <w:t>.</w:t>
      </w:r>
      <w:r w:rsidRPr="00874348">
        <w:rPr>
          <w:rFonts w:eastAsia="Times New Roman"/>
          <w:snapToGrid w:val="0"/>
          <w:lang w:val="fr-FR"/>
        </w:rPr>
        <w:t>  L</w:t>
      </w:r>
      <w:r w:rsidR="00874348" w:rsidRPr="00874348">
        <w:rPr>
          <w:rFonts w:eastAsia="Times New Roman"/>
          <w:snapToGrid w:val="0"/>
          <w:lang w:val="fr-FR"/>
        </w:rPr>
        <w:t>’</w:t>
      </w:r>
      <w:r w:rsidRPr="00874348">
        <w:rPr>
          <w:rFonts w:eastAsia="Times New Roman"/>
          <w:snapToGrid w:val="0"/>
          <w:lang w:val="fr-FR"/>
        </w:rPr>
        <w:t>accessibilité au remède compensatoire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168</w:t>
      </w:r>
      <w:r w:rsidRPr="00874348">
        <w:rPr>
          <w:rFonts w:eastAsia="Times New Roman"/>
          <w:lang w:val="fr-FR"/>
        </w:rPr>
        <w:fldChar w:fldCharType="end"/>
      </w:r>
      <w:r w:rsidRPr="00874348">
        <w:rPr>
          <w:rFonts w:eastAsia="Times New Roman"/>
          <w:lang w:val="fr-FR"/>
        </w:rPr>
        <w:t>.  La Cour constate que la première condition d</w:t>
      </w:r>
      <w:r w:rsidR="00874348" w:rsidRPr="00874348">
        <w:rPr>
          <w:rFonts w:eastAsia="Times New Roman"/>
          <w:lang w:val="fr-FR"/>
        </w:rPr>
        <w:t>’</w:t>
      </w:r>
      <w:r w:rsidRPr="00874348">
        <w:rPr>
          <w:rFonts w:eastAsia="Times New Roman"/>
          <w:lang w:val="fr-FR"/>
        </w:rPr>
        <w:t>accès prévue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 consiste en la présentation d</w:t>
      </w:r>
      <w:r w:rsidR="00874348" w:rsidRPr="00874348">
        <w:rPr>
          <w:rFonts w:eastAsia="Times New Roman"/>
          <w:lang w:val="fr-FR"/>
        </w:rPr>
        <w:t>’</w:t>
      </w:r>
      <w:r w:rsidRPr="00874348">
        <w:rPr>
          <w:rFonts w:eastAsia="Times New Roman"/>
          <w:lang w:val="fr-FR"/>
        </w:rPr>
        <w:t>une demande d</w:t>
      </w:r>
      <w:r w:rsidR="00874348" w:rsidRPr="00874348">
        <w:rPr>
          <w:rFonts w:eastAsia="Times New Roman"/>
          <w:lang w:val="fr-FR"/>
        </w:rPr>
        <w:t>’</w:t>
      </w:r>
      <w:r w:rsidRPr="00874348">
        <w:rPr>
          <w:rFonts w:eastAsia="Times New Roman"/>
          <w:lang w:val="fr-FR"/>
        </w:rPr>
        <w:t>adhésion aux transactions au sens de la loi n</w:t>
      </w:r>
      <w:r w:rsidRPr="00874348">
        <w:rPr>
          <w:rFonts w:eastAsia="Times New Roman"/>
          <w:vertAlign w:val="superscript"/>
          <w:lang w:val="fr-FR"/>
        </w:rPr>
        <w:t>o</w:t>
      </w:r>
      <w:r w:rsidRPr="00874348">
        <w:rPr>
          <w:rFonts w:eastAsia="Times New Roman"/>
          <w:lang w:val="fr-FR"/>
        </w:rPr>
        <w:t xml:space="preserve"> 244/2007 au plus tard le 19 janvier 2010. La Cour renvoie aux données indiquées pour chaque requérant dans la liste B en annexe et note que tous les requérants remplissent cette condition.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169</w:t>
      </w:r>
      <w:r w:rsidRPr="00874348">
        <w:rPr>
          <w:rFonts w:eastAsia="Times New Roman"/>
          <w:lang w:val="fr-FR"/>
        </w:rPr>
        <w:fldChar w:fldCharType="end"/>
      </w:r>
      <w:r w:rsidRPr="00874348">
        <w:rPr>
          <w:rFonts w:eastAsia="Times New Roman"/>
          <w:lang w:val="fr-FR"/>
        </w:rPr>
        <w:t>.  Elle relève que, dans ses observations, le Gouvernement spécifie que ce remède n</w:t>
      </w:r>
      <w:r w:rsidR="00874348" w:rsidRPr="00874348">
        <w:rPr>
          <w:rFonts w:eastAsia="Times New Roman"/>
          <w:lang w:val="fr-FR"/>
        </w:rPr>
        <w:t>’</w:t>
      </w:r>
      <w:r w:rsidRPr="00874348">
        <w:rPr>
          <w:rFonts w:eastAsia="Times New Roman"/>
          <w:lang w:val="fr-FR"/>
        </w:rPr>
        <w:t xml:space="preserve">est pas seulement accessible aux personnes ayant introduit une action en dédommagement pendante (ou à leur </w:t>
      </w:r>
      <w:r w:rsidRPr="00874348">
        <w:rPr>
          <w:rFonts w:eastAsia="Times New Roman"/>
          <w:i/>
          <w:lang w:val="fr-FR"/>
        </w:rPr>
        <w:t>de cujus</w:t>
      </w:r>
      <w:r w:rsidRPr="00874348">
        <w:rPr>
          <w:rFonts w:eastAsia="Times New Roman"/>
          <w:lang w:val="fr-FR"/>
        </w:rPr>
        <w:t>) mais également à celles qui ont été destinataires d</w:t>
      </w:r>
      <w:r w:rsidR="00874348" w:rsidRPr="00874348">
        <w:rPr>
          <w:rFonts w:eastAsia="Times New Roman"/>
          <w:lang w:val="fr-FR"/>
        </w:rPr>
        <w:t>’</w:t>
      </w:r>
      <w:r w:rsidRPr="00874348">
        <w:rPr>
          <w:rFonts w:eastAsia="Times New Roman"/>
          <w:lang w:val="fr-FR"/>
        </w:rPr>
        <w:t>une décision judiciaire défavorable.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170</w:t>
      </w:r>
      <w:r w:rsidRPr="00874348">
        <w:rPr>
          <w:rFonts w:eastAsia="Times New Roman"/>
          <w:lang w:val="fr-FR"/>
        </w:rPr>
        <w:fldChar w:fldCharType="end"/>
      </w:r>
      <w:r w:rsidRPr="00874348">
        <w:rPr>
          <w:rFonts w:eastAsia="Times New Roman"/>
          <w:lang w:val="fr-FR"/>
        </w:rPr>
        <w:t>.  Selon le deuxième alinéa de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dans le cas où les personnes intéressées ont déjà reçu une somme à titre de réparation à la suite d</w:t>
      </w:r>
      <w:r w:rsidR="00874348" w:rsidRPr="00874348">
        <w:rPr>
          <w:rFonts w:eastAsia="Times New Roman"/>
          <w:lang w:val="fr-FR"/>
        </w:rPr>
        <w:t>’</w:t>
      </w:r>
      <w:r w:rsidRPr="00874348">
        <w:rPr>
          <w:rFonts w:eastAsia="Times New Roman"/>
          <w:lang w:val="fr-FR"/>
        </w:rPr>
        <w:t>une décision exécutoire, le payement est effectué après la déduction du montant déjà reçu.</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171</w:t>
      </w:r>
      <w:r w:rsidRPr="00874348">
        <w:rPr>
          <w:rFonts w:eastAsia="Times New Roman"/>
          <w:lang w:val="fr-FR"/>
        </w:rPr>
        <w:fldChar w:fldCharType="end"/>
      </w:r>
      <w:r w:rsidRPr="00874348">
        <w:rPr>
          <w:rFonts w:eastAsia="Times New Roman"/>
          <w:lang w:val="fr-FR"/>
        </w:rPr>
        <w:t>.  Par conséquent, les requérants faisant partie de la requête n</w:t>
      </w:r>
      <w:r w:rsidRPr="00874348">
        <w:rPr>
          <w:rFonts w:eastAsia="Times New Roman"/>
          <w:vertAlign w:val="superscript"/>
          <w:lang w:val="fr-FR"/>
        </w:rPr>
        <w:t>o</w:t>
      </w:r>
      <w:r w:rsidRPr="00874348">
        <w:rPr>
          <w:rFonts w:eastAsia="Times New Roman"/>
          <w:lang w:val="fr-FR"/>
        </w:rPr>
        <w:t> 8154/12 ayant reçu des sommes à titre de dédommagement inférieures à 100 000 EUR peuvent se prévaloir du nouveau remède.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172</w:t>
      </w:r>
      <w:r w:rsidRPr="00874348">
        <w:rPr>
          <w:rFonts w:eastAsia="Times New Roman"/>
          <w:lang w:val="fr-FR"/>
        </w:rPr>
        <w:fldChar w:fldCharType="end"/>
      </w:r>
      <w:r w:rsidRPr="00874348">
        <w:rPr>
          <w:rFonts w:eastAsia="Times New Roman"/>
          <w:lang w:val="fr-FR"/>
        </w:rPr>
        <w:t>.  Seuls les seize requérants qui ont obtenu entre-temps un dédommagement au niveau interne dont le montant est supérieur à 100 000 EUR</w:t>
      </w:r>
      <w:r w:rsidRPr="00874348">
        <w:rPr>
          <w:rFonts w:eastAsia="Times New Roman"/>
          <w:vertAlign w:val="superscript"/>
          <w:lang w:val="fr-FR"/>
        </w:rPr>
        <w:footnoteReference w:id="13"/>
      </w:r>
      <w:r w:rsidRPr="00874348">
        <w:rPr>
          <w:rFonts w:eastAsia="Times New Roman"/>
          <w:lang w:val="fr-FR"/>
        </w:rPr>
        <w:t xml:space="preserve"> ne peuvent donc pas bénéficier du remède compensatoire.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173</w:t>
      </w:r>
      <w:r w:rsidRPr="00874348">
        <w:rPr>
          <w:rFonts w:eastAsia="Times New Roman"/>
          <w:lang w:val="fr-FR"/>
        </w:rPr>
        <w:fldChar w:fldCharType="end"/>
      </w:r>
      <w:r w:rsidRPr="00874348">
        <w:rPr>
          <w:rFonts w:eastAsia="Times New Roman"/>
          <w:lang w:val="fr-FR"/>
        </w:rPr>
        <w:t>.  La Cour relève que ces derniers se plaignaient du laps de temps excessif en vue de la conclusion des règlements amiables auxquels ils avaient demandé d</w:t>
      </w:r>
      <w:r w:rsidR="00874348" w:rsidRPr="00874348">
        <w:rPr>
          <w:rFonts w:eastAsia="Times New Roman"/>
          <w:lang w:val="fr-FR"/>
        </w:rPr>
        <w:t>’</w:t>
      </w:r>
      <w:r w:rsidRPr="00874348">
        <w:rPr>
          <w:rFonts w:eastAsia="Times New Roman"/>
          <w:lang w:val="fr-FR"/>
        </w:rPr>
        <w:t>accéder, de la violation de leur droit au respect des biens et du manque d</w:t>
      </w:r>
      <w:r w:rsidR="00874348" w:rsidRPr="00874348">
        <w:rPr>
          <w:rFonts w:eastAsia="Times New Roman"/>
          <w:lang w:val="fr-FR"/>
        </w:rPr>
        <w:t>’</w:t>
      </w:r>
      <w:r w:rsidRPr="00874348">
        <w:rPr>
          <w:rFonts w:eastAsia="Times New Roman"/>
          <w:lang w:val="fr-FR"/>
        </w:rPr>
        <w:t>un recours effectif pour se plaindre des griefs qu</w:t>
      </w:r>
      <w:r w:rsidR="00874348" w:rsidRPr="00874348">
        <w:rPr>
          <w:rFonts w:eastAsia="Times New Roman"/>
          <w:lang w:val="fr-FR"/>
        </w:rPr>
        <w:t>’</w:t>
      </w:r>
      <w:r w:rsidRPr="00874348">
        <w:rPr>
          <w:rFonts w:eastAsia="Times New Roman"/>
          <w:lang w:val="fr-FR"/>
        </w:rPr>
        <w:t>ils soulèvent devant la Cour (voir les paragraphes 95, 99 et 101 ci-dessus). Ils invoquaient à cet égard une violation de l</w:t>
      </w:r>
      <w:r w:rsidR="00874348" w:rsidRPr="00874348">
        <w:rPr>
          <w:rFonts w:eastAsia="Times New Roman"/>
          <w:lang w:val="fr-FR"/>
        </w:rPr>
        <w:t>’</w:t>
      </w:r>
      <w:r w:rsidRPr="00874348">
        <w:rPr>
          <w:rFonts w:eastAsia="Times New Roman"/>
          <w:lang w:val="fr-FR"/>
        </w:rPr>
        <w:t>article 2, sous son volet procédural, ainsi que des articles 1 du Protocole n</w:t>
      </w:r>
      <w:r w:rsidRPr="00874348">
        <w:rPr>
          <w:rFonts w:eastAsia="Times New Roman"/>
          <w:vertAlign w:val="superscript"/>
          <w:lang w:val="fr-FR"/>
        </w:rPr>
        <w:t>o</w:t>
      </w:r>
      <w:r w:rsidRPr="00874348">
        <w:rPr>
          <w:rFonts w:eastAsia="Times New Roman"/>
          <w:lang w:val="fr-FR"/>
        </w:rPr>
        <w:t xml:space="preserve"> 1 et 13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174</w:t>
      </w:r>
      <w:r w:rsidRPr="00874348">
        <w:rPr>
          <w:rFonts w:eastAsia="Times New Roman"/>
          <w:lang w:val="fr-FR"/>
        </w:rPr>
        <w:fldChar w:fldCharType="end"/>
      </w:r>
      <w:r w:rsidRPr="00874348">
        <w:rPr>
          <w:rFonts w:eastAsia="Times New Roman"/>
          <w:lang w:val="fr-FR"/>
        </w:rPr>
        <w:t>.  La Cour constate que ces derniers requérants ont obtenu un dédommagement à des dates non-précisées. En tout état de cause, il ressort des documents déposés au greffe que plusieurs d</w:t>
      </w:r>
      <w:r w:rsidR="00874348" w:rsidRPr="00874348">
        <w:rPr>
          <w:rFonts w:eastAsia="Times New Roman"/>
          <w:lang w:val="fr-FR"/>
        </w:rPr>
        <w:t>’</w:t>
      </w:r>
      <w:r w:rsidRPr="00874348">
        <w:rPr>
          <w:rFonts w:eastAsia="Times New Roman"/>
          <w:lang w:val="fr-FR"/>
        </w:rPr>
        <w:t>entre eux</w:t>
      </w:r>
      <w:r w:rsidRPr="00874348">
        <w:rPr>
          <w:rFonts w:eastAsia="Times New Roman"/>
          <w:vertAlign w:val="superscript"/>
          <w:lang w:val="fr-FR"/>
        </w:rPr>
        <w:footnoteReference w:id="14"/>
      </w:r>
      <w:r w:rsidRPr="00874348">
        <w:rPr>
          <w:rFonts w:eastAsia="Times New Roman"/>
          <w:lang w:val="fr-FR"/>
        </w:rPr>
        <w:t xml:space="preserve"> ont obtenu la réparation du préjudice subi sur la base de décisions internes définitives déposées en septembre et octobre 2009. Quant au restant de ces requérants, aucune information détaillée n</w:t>
      </w:r>
      <w:r w:rsidR="00874348" w:rsidRPr="00874348">
        <w:rPr>
          <w:rFonts w:eastAsia="Times New Roman"/>
          <w:lang w:val="fr-FR"/>
        </w:rPr>
        <w:t>’</w:t>
      </w:r>
      <w:r w:rsidRPr="00874348">
        <w:rPr>
          <w:rFonts w:eastAsia="Times New Roman"/>
          <w:lang w:val="fr-FR"/>
        </w:rPr>
        <w:t>a été fournie concernant la date de ces décisions dont ils ont été destinataires. À la lumière de ces éléments, cette partie des griefs apparaît donc manifestement mal fondée et doit être rejetée au sens de l</w:t>
      </w:r>
      <w:r w:rsidR="00874348" w:rsidRPr="00874348">
        <w:rPr>
          <w:rFonts w:eastAsia="Times New Roman"/>
          <w:lang w:val="fr-FR"/>
        </w:rPr>
        <w:t>’</w:t>
      </w:r>
      <w:r w:rsidRPr="00874348">
        <w:rPr>
          <w:rFonts w:eastAsia="Times New Roman"/>
          <w:lang w:val="fr-FR"/>
        </w:rPr>
        <w:t>article 35 §§ 3 et 4 de la Convention.</w:t>
      </w:r>
    </w:p>
    <w:p w:rsidR="00506071" w:rsidRPr="00874348" w:rsidRDefault="00506071" w:rsidP="00874348">
      <w:pPr>
        <w:pStyle w:val="ECHRPara"/>
        <w:rPr>
          <w:rFonts w:eastAsia="Times New Roman"/>
          <w:lang w:val="fr-FR"/>
        </w:rPr>
      </w:pPr>
      <w:r w:rsidRPr="00874348">
        <w:rPr>
          <w:rFonts w:eastAsia="Times New Roman"/>
          <w:lang w:val="fr-FR"/>
        </w:rPr>
        <w:lastRenderedPageBreak/>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175</w:t>
      </w:r>
      <w:r w:rsidRPr="00874348">
        <w:rPr>
          <w:rFonts w:eastAsia="Times New Roman"/>
          <w:lang w:val="fr-FR"/>
        </w:rPr>
        <w:fldChar w:fldCharType="end"/>
      </w:r>
      <w:r w:rsidRPr="00874348">
        <w:rPr>
          <w:rFonts w:eastAsia="Times New Roman"/>
          <w:lang w:val="fr-FR"/>
        </w:rPr>
        <w:t>.  Quant aux autres requérants, c</w:t>
      </w:r>
      <w:r w:rsidR="00874348" w:rsidRPr="00874348">
        <w:rPr>
          <w:rFonts w:eastAsia="Times New Roman"/>
          <w:lang w:val="fr-FR"/>
        </w:rPr>
        <w:t>’</w:t>
      </w:r>
      <w:r w:rsidRPr="00874348">
        <w:rPr>
          <w:rFonts w:eastAsia="Times New Roman"/>
          <w:lang w:val="fr-FR"/>
        </w:rPr>
        <w:t>est-à-dire, ceux pour lesquelles la Cour n</w:t>
      </w:r>
      <w:r w:rsidR="00874348" w:rsidRPr="00874348">
        <w:rPr>
          <w:rFonts w:eastAsia="Times New Roman"/>
          <w:lang w:val="fr-FR"/>
        </w:rPr>
        <w:t>’</w:t>
      </w:r>
      <w:r w:rsidRPr="00874348">
        <w:rPr>
          <w:rFonts w:eastAsia="Times New Roman"/>
          <w:lang w:val="fr-FR"/>
        </w:rPr>
        <w:t>a pas conclu jusqu</w:t>
      </w:r>
      <w:r w:rsidR="00874348" w:rsidRPr="00874348">
        <w:rPr>
          <w:rFonts w:eastAsia="Times New Roman"/>
          <w:lang w:val="fr-FR"/>
        </w:rPr>
        <w:t>’</w:t>
      </w:r>
      <w:r w:rsidRPr="00874348">
        <w:rPr>
          <w:rFonts w:eastAsia="Times New Roman"/>
          <w:lang w:val="fr-FR"/>
        </w:rPr>
        <w:t>à présent à l</w:t>
      </w:r>
      <w:r w:rsidR="00874348" w:rsidRPr="00874348">
        <w:rPr>
          <w:rFonts w:eastAsia="Times New Roman"/>
          <w:lang w:val="fr-FR"/>
        </w:rPr>
        <w:t>’</w:t>
      </w:r>
      <w:r w:rsidRPr="00874348">
        <w:rPr>
          <w:rFonts w:eastAsia="Times New Roman"/>
          <w:lang w:val="fr-FR"/>
        </w:rPr>
        <w:t>irrecevabilité des leurs requête ou à la radiation du rôle de celles-ci, la Cour note que l</w:t>
      </w:r>
      <w:r w:rsidR="00874348" w:rsidRPr="00874348">
        <w:rPr>
          <w:rFonts w:eastAsia="Times New Roman"/>
          <w:lang w:val="fr-FR"/>
        </w:rPr>
        <w:t>’</w:t>
      </w:r>
      <w:r w:rsidRPr="00874348">
        <w:rPr>
          <w:rFonts w:eastAsia="Times New Roman"/>
          <w:lang w:val="fr-FR"/>
        </w:rPr>
        <w:t>accès à l</w:t>
      </w:r>
      <w:r w:rsidR="00874348" w:rsidRPr="00874348">
        <w:rPr>
          <w:rFonts w:eastAsia="Times New Roman"/>
          <w:lang w:val="fr-FR"/>
        </w:rPr>
        <w:t>’</w:t>
      </w:r>
      <w:r w:rsidRPr="00874348">
        <w:rPr>
          <w:rFonts w:eastAsia="Times New Roman"/>
          <w:lang w:val="fr-FR"/>
        </w:rPr>
        <w:t>indemnisation en cause est ouvert à toute personne destinataire d</w:t>
      </w:r>
      <w:r w:rsidR="00874348" w:rsidRPr="00874348">
        <w:rPr>
          <w:rFonts w:eastAsia="Times New Roman"/>
          <w:lang w:val="fr-FR"/>
        </w:rPr>
        <w:t>’</w:t>
      </w:r>
      <w:r w:rsidRPr="00874348">
        <w:rPr>
          <w:rFonts w:eastAsia="Times New Roman"/>
          <w:lang w:val="fr-FR"/>
        </w:rPr>
        <w:t>une décision de rejet pour motif de prescription. Ainsi, la garantie mise en place par le Gouvernement est large et touche un groupe de personnes plus important par rapport aux destinataires des règlements amiables en application du décret n</w:t>
      </w:r>
      <w:r w:rsidRPr="00874348">
        <w:rPr>
          <w:rFonts w:eastAsia="Times New Roman"/>
          <w:vertAlign w:val="superscript"/>
          <w:lang w:val="fr-FR"/>
        </w:rPr>
        <w:t>o</w:t>
      </w:r>
      <w:r w:rsidRPr="00874348">
        <w:rPr>
          <w:rFonts w:eastAsia="Times New Roman"/>
          <w:lang w:val="fr-FR"/>
        </w:rPr>
        <w:t xml:space="preserve"> 162/12, ce dernier excluant des transactions les personnes pour lesquelles la procédure civile avait été déclarée prescrite.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176</w:t>
      </w:r>
      <w:r w:rsidRPr="00874348">
        <w:rPr>
          <w:rFonts w:eastAsia="Times New Roman"/>
          <w:lang w:val="fr-FR"/>
        </w:rPr>
        <w:fldChar w:fldCharType="end"/>
      </w:r>
      <w:r w:rsidRPr="00874348">
        <w:rPr>
          <w:rFonts w:eastAsia="Times New Roman"/>
          <w:lang w:val="fr-FR"/>
        </w:rPr>
        <w:t>.  Pour ce qui est de l</w:t>
      </w:r>
      <w:r w:rsidR="00874348" w:rsidRPr="00874348">
        <w:rPr>
          <w:rFonts w:eastAsia="Times New Roman"/>
          <w:lang w:val="fr-FR"/>
        </w:rPr>
        <w:t>’</w:t>
      </w:r>
      <w:r w:rsidRPr="00874348">
        <w:rPr>
          <w:rFonts w:eastAsia="Times New Roman"/>
          <w:lang w:val="fr-FR"/>
        </w:rPr>
        <w:t>argument selon lequel, de l</w:t>
      </w:r>
      <w:r w:rsidR="00874348" w:rsidRPr="00874348">
        <w:rPr>
          <w:rFonts w:eastAsia="Times New Roman"/>
          <w:lang w:val="fr-FR"/>
        </w:rPr>
        <w:t>’</w:t>
      </w:r>
      <w:r w:rsidRPr="00874348">
        <w:rPr>
          <w:rFonts w:eastAsia="Times New Roman"/>
          <w:lang w:val="fr-FR"/>
        </w:rPr>
        <w:t>avis de certains requérants, les conditions de recevabilité fixées par le décret-loi n</w:t>
      </w:r>
      <w:r w:rsidRPr="00874348">
        <w:rPr>
          <w:rFonts w:eastAsia="Times New Roman"/>
          <w:vertAlign w:val="superscript"/>
          <w:lang w:val="fr-FR"/>
        </w:rPr>
        <w:t>o</w:t>
      </w:r>
      <w:r w:rsidRPr="00874348">
        <w:rPr>
          <w:rFonts w:eastAsia="Times New Roman"/>
          <w:lang w:val="fr-FR"/>
        </w:rPr>
        <w:t xml:space="preserve"> 90/2014 constituent un obstacle sur le chemin de l</w:t>
      </w:r>
      <w:r w:rsidR="00874348" w:rsidRPr="00874348">
        <w:rPr>
          <w:rFonts w:eastAsia="Times New Roman"/>
          <w:lang w:val="fr-FR"/>
        </w:rPr>
        <w:t>’</w:t>
      </w:r>
      <w:r w:rsidRPr="00874348">
        <w:rPr>
          <w:rFonts w:eastAsia="Times New Roman"/>
          <w:lang w:val="fr-FR"/>
        </w:rPr>
        <w:t>in</w:t>
      </w:r>
      <w:r w:rsidR="00385ABF" w:rsidRPr="00874348">
        <w:rPr>
          <w:rFonts w:eastAsia="Times New Roman"/>
          <w:lang w:val="fr-FR"/>
        </w:rPr>
        <w:t>demnisation (voir le paragraphe </w:t>
      </w:r>
      <w:r w:rsidRPr="00874348">
        <w:rPr>
          <w:rFonts w:eastAsia="Times New Roman"/>
          <w:lang w:val="fr-FR"/>
        </w:rPr>
        <w:t>118 ci-dessus), la Cour relève que l</w:t>
      </w:r>
      <w:r w:rsidR="00874348" w:rsidRPr="00874348">
        <w:rPr>
          <w:rFonts w:eastAsia="Times New Roman"/>
          <w:lang w:val="fr-FR"/>
        </w:rPr>
        <w:t>’</w:t>
      </w:r>
      <w:r w:rsidRPr="00874348">
        <w:rPr>
          <w:rFonts w:eastAsia="Times New Roman"/>
          <w:lang w:val="fr-FR"/>
        </w:rPr>
        <w:t>existence de ces conditions ne pose pas d</w:t>
      </w:r>
      <w:r w:rsidR="00874348" w:rsidRPr="00874348">
        <w:rPr>
          <w:rFonts w:eastAsia="Times New Roman"/>
          <w:lang w:val="fr-FR"/>
        </w:rPr>
        <w:t>’</w:t>
      </w:r>
      <w:r w:rsidRPr="00874348">
        <w:rPr>
          <w:rFonts w:eastAsia="Times New Roman"/>
          <w:lang w:val="fr-FR"/>
        </w:rPr>
        <w:t>obstacle en soit. De plus, aucun argument attestant leur éventuelle application arbitraire n</w:t>
      </w:r>
      <w:r w:rsidR="00874348" w:rsidRPr="00874348">
        <w:rPr>
          <w:rFonts w:eastAsia="Times New Roman"/>
          <w:lang w:val="fr-FR"/>
        </w:rPr>
        <w:t>’</w:t>
      </w:r>
      <w:r w:rsidRPr="00874348">
        <w:rPr>
          <w:rFonts w:eastAsia="Times New Roman"/>
          <w:lang w:val="fr-FR"/>
        </w:rPr>
        <w:t>a été présenté par les requérants.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177</w:t>
      </w:r>
      <w:r w:rsidRPr="00874348">
        <w:rPr>
          <w:rFonts w:eastAsia="Times New Roman"/>
          <w:lang w:val="fr-FR"/>
        </w:rPr>
        <w:fldChar w:fldCharType="end"/>
      </w:r>
      <w:r w:rsidRPr="00874348">
        <w:rPr>
          <w:rFonts w:eastAsia="Times New Roman"/>
          <w:lang w:val="fr-FR"/>
        </w:rPr>
        <w:t>.  La Cour en conclut que le remède compensatoire mis en place par le Gouvernement dans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 est accessible à l</w:t>
      </w:r>
      <w:r w:rsidR="00874348" w:rsidRPr="00874348">
        <w:rPr>
          <w:rFonts w:eastAsia="Times New Roman"/>
          <w:lang w:val="fr-FR"/>
        </w:rPr>
        <w:t>’</w:t>
      </w:r>
      <w:r w:rsidRPr="00874348">
        <w:rPr>
          <w:rFonts w:eastAsia="Times New Roman"/>
          <w:lang w:val="fr-FR"/>
        </w:rPr>
        <w:t>ensemble de ces requérants.</w:t>
      </w:r>
    </w:p>
    <w:p w:rsidR="00506071" w:rsidRPr="00874348" w:rsidRDefault="00506071" w:rsidP="00874348">
      <w:pPr>
        <w:pStyle w:val="ECHRHeading5"/>
        <w:rPr>
          <w:rFonts w:eastAsia="Times New Roman"/>
          <w:lang w:val="fr-FR"/>
        </w:rPr>
      </w:pPr>
      <w:r w:rsidRPr="00874348">
        <w:rPr>
          <w:rFonts w:eastAsia="Times New Roman"/>
          <w:lang w:val="fr-FR"/>
        </w:rPr>
        <w:t>ii</w:t>
      </w:r>
      <w:r w:rsidR="004948A4" w:rsidRPr="00874348">
        <w:rPr>
          <w:rFonts w:eastAsia="Times New Roman"/>
          <w:lang w:val="fr-FR"/>
        </w:rPr>
        <w:t>.</w:t>
      </w:r>
      <w:r w:rsidRPr="00874348">
        <w:rPr>
          <w:rFonts w:eastAsia="Times New Roman"/>
          <w:lang w:val="fr-FR"/>
        </w:rPr>
        <w:t>  Le caractère adéquat de l</w:t>
      </w:r>
      <w:r w:rsidR="00874348" w:rsidRPr="00874348">
        <w:rPr>
          <w:rFonts w:eastAsia="Times New Roman"/>
          <w:lang w:val="fr-FR"/>
        </w:rPr>
        <w:t>’</w:t>
      </w:r>
      <w:r w:rsidRPr="00874348">
        <w:rPr>
          <w:rFonts w:eastAsia="Times New Roman"/>
          <w:lang w:val="fr-FR"/>
        </w:rPr>
        <w:t>indemnisation offerte par le Gouvernement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178</w:t>
      </w:r>
      <w:r w:rsidRPr="00874348">
        <w:rPr>
          <w:rFonts w:eastAsia="Times New Roman"/>
          <w:lang w:val="fr-FR"/>
        </w:rPr>
        <w:fldChar w:fldCharType="end"/>
      </w:r>
      <w:r w:rsidRPr="00874348">
        <w:rPr>
          <w:rFonts w:eastAsia="Times New Roman"/>
          <w:lang w:val="fr-FR"/>
        </w:rPr>
        <w:t>.  La Cour note d</w:t>
      </w:r>
      <w:r w:rsidR="00874348" w:rsidRPr="00874348">
        <w:rPr>
          <w:rFonts w:eastAsia="Times New Roman"/>
          <w:lang w:val="fr-FR"/>
        </w:rPr>
        <w:t>’</w:t>
      </w:r>
      <w:r w:rsidRPr="00874348">
        <w:rPr>
          <w:rFonts w:eastAsia="Times New Roman"/>
          <w:lang w:val="fr-FR"/>
        </w:rPr>
        <w:t>emblée que le montant fixé par le décret-loi n</w:t>
      </w:r>
      <w:r w:rsidRPr="00874348">
        <w:rPr>
          <w:rFonts w:eastAsia="Times New Roman"/>
          <w:vertAlign w:val="superscript"/>
          <w:lang w:val="fr-FR"/>
        </w:rPr>
        <w:t>o </w:t>
      </w:r>
      <w:r w:rsidRPr="00874348">
        <w:rPr>
          <w:rFonts w:eastAsia="Times New Roman"/>
          <w:lang w:val="fr-FR"/>
        </w:rPr>
        <w:t>90/2014, à savoir 100 000 EUR pour chaque personne ayant présenté la demande d</w:t>
      </w:r>
      <w:r w:rsidR="00874348" w:rsidRPr="00874348">
        <w:rPr>
          <w:rFonts w:eastAsia="Times New Roman"/>
          <w:lang w:val="fr-FR"/>
        </w:rPr>
        <w:t>’</w:t>
      </w:r>
      <w:r w:rsidRPr="00874348">
        <w:rPr>
          <w:rFonts w:eastAsia="Times New Roman"/>
          <w:lang w:val="fr-FR"/>
        </w:rPr>
        <w:t>adhésion ainsi que pour les héritiers, dans le cas où la personne soit décédée au cours de la procédure, n</w:t>
      </w:r>
      <w:r w:rsidR="00874348" w:rsidRPr="00874348">
        <w:rPr>
          <w:rFonts w:eastAsia="Times New Roman"/>
          <w:lang w:val="fr-FR"/>
        </w:rPr>
        <w:t>’</w:t>
      </w:r>
      <w:r w:rsidRPr="00874348">
        <w:rPr>
          <w:rFonts w:eastAsia="Times New Roman"/>
          <w:lang w:val="fr-FR"/>
        </w:rPr>
        <w:t>est pas négligeable, compte tenu notamment de l</w:t>
      </w:r>
      <w:r w:rsidR="00874348" w:rsidRPr="00874348">
        <w:rPr>
          <w:rFonts w:eastAsia="Times New Roman"/>
          <w:lang w:val="fr-FR"/>
        </w:rPr>
        <w:t>’</w:t>
      </w:r>
      <w:r w:rsidRPr="00874348">
        <w:rPr>
          <w:rFonts w:eastAsia="Times New Roman"/>
          <w:lang w:val="fr-FR"/>
        </w:rPr>
        <w:t>ensemble des demandes de règlement amiable introduites au niveau interne (environ 7 000).</w:t>
      </w:r>
    </w:p>
    <w:p w:rsidR="00506071" w:rsidRPr="00874348" w:rsidRDefault="00506071" w:rsidP="00874348">
      <w:pPr>
        <w:pStyle w:val="ECHRPara"/>
        <w:rPr>
          <w:rFonts w:eastAsia="Times New Roman"/>
          <w:snapToGrid w:val="0"/>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179</w:t>
      </w:r>
      <w:r w:rsidRPr="00874348">
        <w:rPr>
          <w:rFonts w:eastAsia="Times New Roman"/>
          <w:lang w:val="fr-FR"/>
        </w:rPr>
        <w:fldChar w:fldCharType="end"/>
      </w:r>
      <w:r w:rsidRPr="00874348">
        <w:rPr>
          <w:rFonts w:eastAsia="Times New Roman"/>
          <w:lang w:val="fr-FR"/>
        </w:rPr>
        <w:t>.  Certains requérants (voir le paragraphe 138 ci-dessus) opposent que le montant est insuffisant par rapport aux sommes reconnues: (i) dans les règlements amiables au niveau interne (au sens de la loi n</w:t>
      </w:r>
      <w:r w:rsidRPr="00874348">
        <w:rPr>
          <w:rFonts w:eastAsia="Times New Roman"/>
          <w:vertAlign w:val="superscript"/>
          <w:lang w:val="fr-FR"/>
        </w:rPr>
        <w:t>o</w:t>
      </w:r>
      <w:r w:rsidRPr="00874348">
        <w:rPr>
          <w:rFonts w:eastAsia="Times New Roman"/>
          <w:lang w:val="fr-FR"/>
        </w:rPr>
        <w:t> 141/2003), (ii) dans les procédures internes où les victimes du préjudice ont obtenu gain de cause et (iii) devant la Cour dans l</w:t>
      </w:r>
      <w:r w:rsidR="00874348" w:rsidRPr="00874348">
        <w:rPr>
          <w:rFonts w:eastAsia="Times New Roman"/>
          <w:lang w:val="fr-FR"/>
        </w:rPr>
        <w:t>’</w:t>
      </w:r>
      <w:r w:rsidRPr="00874348">
        <w:rPr>
          <w:rFonts w:eastAsia="Times New Roman"/>
          <w:lang w:val="fr-FR"/>
        </w:rPr>
        <w:t xml:space="preserve">affaire </w:t>
      </w:r>
      <w:r w:rsidRPr="00874348">
        <w:rPr>
          <w:rFonts w:eastAsia="Times New Roman"/>
          <w:i/>
          <w:lang w:val="fr-FR"/>
        </w:rPr>
        <w:t>G.N. et autres c. Italie</w:t>
      </w:r>
      <w:r w:rsidRPr="00874348">
        <w:rPr>
          <w:rFonts w:eastAsia="Times New Roman"/>
          <w:lang w:val="fr-FR"/>
        </w:rPr>
        <w:t>, n</w:t>
      </w:r>
      <w:r w:rsidRPr="00874348">
        <w:rPr>
          <w:rFonts w:eastAsia="Times New Roman"/>
          <w:vertAlign w:val="superscript"/>
          <w:lang w:val="fr-FR"/>
        </w:rPr>
        <w:t>o </w:t>
      </w:r>
      <w:r w:rsidRPr="00874348">
        <w:rPr>
          <w:rFonts w:eastAsia="Times New Roman"/>
          <w:lang w:val="fr-FR"/>
        </w:rPr>
        <w:t>43134/05</w:t>
      </w:r>
      <w:r w:rsidRPr="00874348">
        <w:rPr>
          <w:rFonts w:eastAsia="Times New Roman"/>
          <w:snapToGrid w:val="0"/>
          <w:lang w:val="fr-FR"/>
        </w:rPr>
        <w:t xml:space="preserve"> (précité, dont l</w:t>
      </w:r>
      <w:r w:rsidR="00874348" w:rsidRPr="00874348">
        <w:rPr>
          <w:rFonts w:eastAsia="Times New Roman"/>
          <w:snapToGrid w:val="0"/>
          <w:lang w:val="fr-FR"/>
        </w:rPr>
        <w:t>’</w:t>
      </w:r>
      <w:r w:rsidRPr="00874348">
        <w:rPr>
          <w:rFonts w:eastAsia="Times New Roman"/>
          <w:snapToGrid w:val="0"/>
          <w:lang w:val="fr-FR"/>
        </w:rPr>
        <w:t>arrêt sur le fond a été prononcé le 1</w:t>
      </w:r>
      <w:r w:rsidRPr="00874348">
        <w:rPr>
          <w:rFonts w:eastAsia="Times New Roman"/>
          <w:snapToGrid w:val="0"/>
          <w:vertAlign w:val="superscript"/>
          <w:lang w:val="fr-FR"/>
        </w:rPr>
        <w:t>er</w:t>
      </w:r>
      <w:r w:rsidRPr="00874348">
        <w:rPr>
          <w:rFonts w:eastAsia="Times New Roman"/>
          <w:lang w:val="fr-FR"/>
        </w:rPr>
        <w:t> décembre</w:t>
      </w:r>
      <w:r w:rsidR="00385ABF" w:rsidRPr="00874348">
        <w:rPr>
          <w:rFonts w:eastAsia="Times New Roman"/>
          <w:snapToGrid w:val="0"/>
          <w:lang w:val="fr-FR"/>
        </w:rPr>
        <w:t xml:space="preserve"> </w:t>
      </w:r>
      <w:r w:rsidRPr="00874348">
        <w:rPr>
          <w:rFonts w:eastAsia="Times New Roman"/>
          <w:snapToGrid w:val="0"/>
          <w:lang w:val="fr-FR"/>
        </w:rPr>
        <w:t>2009</w:t>
      </w:r>
      <w:r w:rsidRPr="00874348">
        <w:rPr>
          <w:rFonts w:eastAsia="Times New Roman"/>
          <w:lang w:val="fr-FR"/>
        </w:rPr>
        <w:t xml:space="preserve"> et, celui sur la satisfaction équitable, le </w:t>
      </w:r>
      <w:r w:rsidRPr="00874348">
        <w:rPr>
          <w:rFonts w:eastAsia="Times New Roman"/>
          <w:snapToGrid w:val="0"/>
          <w:lang w:val="fr-FR"/>
        </w:rPr>
        <w:t>15 </w:t>
      </w:r>
      <w:r w:rsidRPr="00874348">
        <w:rPr>
          <w:rFonts w:eastAsia="Times New Roman"/>
          <w:lang w:val="fr-FR"/>
        </w:rPr>
        <w:t>mars</w:t>
      </w:r>
      <w:r w:rsidRPr="00874348">
        <w:rPr>
          <w:rFonts w:eastAsia="Times New Roman"/>
          <w:snapToGrid w:val="0"/>
          <w:lang w:val="fr-FR"/>
        </w:rPr>
        <w:t xml:space="preserve"> 2011).</w:t>
      </w:r>
    </w:p>
    <w:p w:rsidR="00506071" w:rsidRPr="00874348" w:rsidRDefault="00506071" w:rsidP="00874348">
      <w:pPr>
        <w:pStyle w:val="ECHRPara"/>
        <w:rPr>
          <w:rFonts w:eastAsia="Times New Roman"/>
          <w:lang w:val="fr-FR"/>
        </w:rPr>
      </w:pPr>
      <w:r w:rsidRPr="00874348">
        <w:rPr>
          <w:rFonts w:eastAsia="Times New Roman"/>
          <w:snapToGrid w:val="0"/>
          <w:lang w:val="fr-FR"/>
        </w:rPr>
        <w:fldChar w:fldCharType="begin"/>
      </w:r>
      <w:r w:rsidRPr="00874348">
        <w:rPr>
          <w:rFonts w:eastAsia="Times New Roman"/>
          <w:snapToGrid w:val="0"/>
          <w:lang w:val="fr-FR"/>
        </w:rPr>
        <w:instrText xml:space="preserve"> SEQ level0 \*arabic </w:instrText>
      </w:r>
      <w:r w:rsidRPr="00874348">
        <w:rPr>
          <w:rFonts w:eastAsia="Times New Roman"/>
          <w:snapToGrid w:val="0"/>
          <w:lang w:val="fr-FR"/>
        </w:rPr>
        <w:fldChar w:fldCharType="separate"/>
      </w:r>
      <w:r w:rsidR="00874348" w:rsidRPr="00874348">
        <w:rPr>
          <w:rFonts w:eastAsia="Times New Roman"/>
          <w:noProof/>
          <w:snapToGrid w:val="0"/>
          <w:lang w:val="fr-FR"/>
        </w:rPr>
        <w:t>180</w:t>
      </w:r>
      <w:r w:rsidRPr="00874348">
        <w:rPr>
          <w:rFonts w:eastAsia="Times New Roman"/>
          <w:snapToGrid w:val="0"/>
          <w:lang w:val="fr-FR"/>
        </w:rPr>
        <w:fldChar w:fldCharType="end"/>
      </w:r>
      <w:r w:rsidRPr="00874348">
        <w:rPr>
          <w:rFonts w:eastAsia="Times New Roman"/>
          <w:snapToGrid w:val="0"/>
          <w:lang w:val="fr-FR"/>
        </w:rPr>
        <w:t xml:space="preserve">.  La Cour ne saurait </w:t>
      </w:r>
      <w:r w:rsidRPr="00874348">
        <w:rPr>
          <w:rFonts w:eastAsia="Times New Roman"/>
          <w:lang w:val="fr-FR"/>
        </w:rPr>
        <w:t>spéculer sur l</w:t>
      </w:r>
      <w:r w:rsidR="00874348" w:rsidRPr="00874348">
        <w:rPr>
          <w:rFonts w:eastAsia="Times New Roman"/>
          <w:lang w:val="fr-FR"/>
        </w:rPr>
        <w:t>’</w:t>
      </w:r>
      <w:r w:rsidRPr="00874348">
        <w:rPr>
          <w:rFonts w:eastAsia="Times New Roman"/>
          <w:lang w:val="fr-FR"/>
        </w:rPr>
        <w:t>issue des demandes de règlement amiable des centaines de requérants ayant introduit la présente requête. Elle ne peut pas non plus se substituer aux juridictions internes dans l</w:t>
      </w:r>
      <w:r w:rsidR="00874348" w:rsidRPr="00874348">
        <w:rPr>
          <w:rFonts w:eastAsia="Times New Roman"/>
          <w:lang w:val="fr-FR"/>
        </w:rPr>
        <w:t>’</w:t>
      </w:r>
      <w:r w:rsidRPr="00874348">
        <w:rPr>
          <w:rFonts w:eastAsia="Times New Roman"/>
          <w:lang w:val="fr-FR"/>
        </w:rPr>
        <w:t>évaluation du montant à octroyer à chaque personne.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181</w:t>
      </w:r>
      <w:r w:rsidRPr="00874348">
        <w:rPr>
          <w:rFonts w:eastAsia="Times New Roman"/>
          <w:lang w:val="fr-FR"/>
        </w:rPr>
        <w:fldChar w:fldCharType="end"/>
      </w:r>
      <w:r w:rsidRPr="00874348">
        <w:rPr>
          <w:rFonts w:eastAsia="Times New Roman"/>
          <w:lang w:val="fr-FR"/>
        </w:rPr>
        <w:t>.  De plus, la Cour note que, dans plusieurs cas, les demandes en dédommagement introduites par les requérants ont été rejetées et que, en tout cas, le Gouvernement indique que le nouveau remède indemnitaire est ouvert également à cette catégorie de personnes.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182</w:t>
      </w:r>
      <w:r w:rsidRPr="00874348">
        <w:rPr>
          <w:rFonts w:eastAsia="Times New Roman"/>
          <w:lang w:val="fr-FR"/>
        </w:rPr>
        <w:fldChar w:fldCharType="end"/>
      </w:r>
      <w:r w:rsidRPr="00874348">
        <w:rPr>
          <w:rFonts w:eastAsia="Times New Roman"/>
          <w:lang w:val="fr-FR"/>
        </w:rPr>
        <w:t xml:space="preserve">.  La Cour observe, en outre, ne pas disposer de statistiques montrant quel est le montant reconnu par les juridictions internes dans les procédures en dédommagement. En tout cas, selon les informations recueillies dans le </w:t>
      </w:r>
      <w:r w:rsidRPr="00874348">
        <w:rPr>
          <w:rFonts w:eastAsia="Times New Roman"/>
          <w:lang w:val="fr-FR"/>
        </w:rPr>
        <w:lastRenderedPageBreak/>
        <w:t>dossier n</w:t>
      </w:r>
      <w:r w:rsidRPr="00874348">
        <w:rPr>
          <w:rFonts w:eastAsia="Times New Roman"/>
          <w:vertAlign w:val="superscript"/>
          <w:lang w:val="fr-FR"/>
        </w:rPr>
        <w:t>o</w:t>
      </w:r>
      <w:r w:rsidRPr="00874348">
        <w:rPr>
          <w:rFonts w:eastAsia="Times New Roman"/>
          <w:lang w:val="fr-FR"/>
        </w:rPr>
        <w:t xml:space="preserve"> 8154/12, il ressort que les montants reconnus pour un groupe de personnes destinataires de décisions favorab</w:t>
      </w:r>
      <w:r w:rsidR="00385ABF" w:rsidRPr="00874348">
        <w:rPr>
          <w:rFonts w:eastAsia="Times New Roman"/>
          <w:lang w:val="fr-FR"/>
        </w:rPr>
        <w:t>les varient entre 10 000 EUR et </w:t>
      </w:r>
      <w:r w:rsidRPr="00874348">
        <w:rPr>
          <w:rFonts w:eastAsia="Times New Roman"/>
          <w:lang w:val="fr-FR"/>
        </w:rPr>
        <w:t>475 000 EUR. La Cour ne peut toutefois pas non plus spéculer sur l</w:t>
      </w:r>
      <w:r w:rsidR="00874348" w:rsidRPr="00874348">
        <w:rPr>
          <w:rFonts w:eastAsia="Times New Roman"/>
          <w:lang w:val="fr-FR"/>
        </w:rPr>
        <w:t>’</w:t>
      </w:r>
      <w:r w:rsidRPr="00874348">
        <w:rPr>
          <w:rFonts w:eastAsia="Times New Roman"/>
          <w:lang w:val="fr-FR"/>
        </w:rPr>
        <w:t>issue de ces procédures.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183</w:t>
      </w:r>
      <w:r w:rsidRPr="00874348">
        <w:rPr>
          <w:rFonts w:eastAsia="Times New Roman"/>
          <w:lang w:val="fr-FR"/>
        </w:rPr>
        <w:fldChar w:fldCharType="end"/>
      </w:r>
      <w:r w:rsidRPr="00874348">
        <w:rPr>
          <w:rFonts w:eastAsia="Times New Roman"/>
          <w:lang w:val="fr-FR"/>
        </w:rPr>
        <w:t>.  Quant à l</w:t>
      </w:r>
      <w:r w:rsidR="00874348" w:rsidRPr="00874348">
        <w:rPr>
          <w:rFonts w:eastAsia="Times New Roman"/>
          <w:lang w:val="fr-FR"/>
        </w:rPr>
        <w:t>’</w:t>
      </w:r>
      <w:r w:rsidRPr="00874348">
        <w:rPr>
          <w:rFonts w:eastAsia="Times New Roman"/>
          <w:lang w:val="fr-FR"/>
        </w:rPr>
        <w:t xml:space="preserve">affaire </w:t>
      </w:r>
      <w:r w:rsidRPr="00874348">
        <w:rPr>
          <w:rFonts w:eastAsia="Times New Roman"/>
          <w:i/>
          <w:lang w:val="fr-FR"/>
        </w:rPr>
        <w:t>G.N. et autres c. Italie</w:t>
      </w:r>
      <w:r w:rsidRPr="00874348">
        <w:rPr>
          <w:rFonts w:eastAsia="Times New Roman"/>
          <w:lang w:val="fr-FR"/>
        </w:rPr>
        <w:t xml:space="preserve"> (précitée), la Cour rappelle avoir reconnu à chacun des requérants vivants ainsi qu</w:t>
      </w:r>
      <w:r w:rsidR="00874348" w:rsidRPr="00874348">
        <w:rPr>
          <w:rFonts w:eastAsia="Times New Roman"/>
          <w:lang w:val="fr-FR"/>
        </w:rPr>
        <w:t>’</w:t>
      </w:r>
      <w:r w:rsidRPr="00874348">
        <w:rPr>
          <w:rFonts w:eastAsia="Times New Roman"/>
          <w:lang w:val="fr-FR"/>
        </w:rPr>
        <w:t>à chaque groupe d</w:t>
      </w:r>
      <w:r w:rsidR="00874348" w:rsidRPr="00874348">
        <w:rPr>
          <w:rFonts w:eastAsia="Times New Roman"/>
          <w:lang w:val="fr-FR"/>
        </w:rPr>
        <w:t>’</w:t>
      </w:r>
      <w:r w:rsidRPr="00874348">
        <w:rPr>
          <w:rFonts w:eastAsia="Times New Roman"/>
          <w:lang w:val="fr-FR"/>
        </w:rPr>
        <w:t xml:space="preserve">héritiers 39 000 EUR pour le préjudice moral subi par les requérants ou par leur </w:t>
      </w:r>
      <w:r w:rsidRPr="00874348">
        <w:rPr>
          <w:rFonts w:eastAsia="Times New Roman"/>
          <w:i/>
          <w:lang w:val="fr-FR"/>
        </w:rPr>
        <w:t>de cujus</w:t>
      </w:r>
      <w:r w:rsidRPr="00874348">
        <w:rPr>
          <w:rFonts w:eastAsia="Times New Roman"/>
          <w:lang w:val="fr-FR"/>
        </w:rPr>
        <w:t xml:space="preserve"> en raison de la violation de l</w:t>
      </w:r>
      <w:r w:rsidR="00874348" w:rsidRPr="00874348">
        <w:rPr>
          <w:rFonts w:eastAsia="Times New Roman"/>
          <w:lang w:val="fr-FR"/>
        </w:rPr>
        <w:t>’</w:t>
      </w:r>
      <w:r w:rsidRPr="00874348">
        <w:rPr>
          <w:rFonts w:eastAsia="Times New Roman"/>
          <w:lang w:val="fr-FR"/>
        </w:rPr>
        <w:t>article 2 de la Convention, sous son volet procédural, et de l</w:t>
      </w:r>
      <w:r w:rsidR="00874348" w:rsidRPr="00874348">
        <w:rPr>
          <w:rFonts w:eastAsia="Times New Roman"/>
          <w:lang w:val="fr-FR"/>
        </w:rPr>
        <w:t>’</w:t>
      </w:r>
      <w:r w:rsidRPr="00874348">
        <w:rPr>
          <w:rFonts w:eastAsia="Times New Roman"/>
          <w:lang w:val="fr-FR"/>
        </w:rPr>
        <w:t>article 14 de la Convention, combiné avec l</w:t>
      </w:r>
      <w:r w:rsidR="00874348" w:rsidRPr="00874348">
        <w:rPr>
          <w:rFonts w:eastAsia="Times New Roman"/>
          <w:lang w:val="fr-FR"/>
        </w:rPr>
        <w:t>’</w:t>
      </w:r>
      <w:r w:rsidRPr="00874348">
        <w:rPr>
          <w:rFonts w:eastAsia="Times New Roman"/>
          <w:lang w:val="fr-FR"/>
        </w:rPr>
        <w:t>article 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184</w:t>
      </w:r>
      <w:r w:rsidRPr="00874348">
        <w:rPr>
          <w:rFonts w:eastAsia="Times New Roman"/>
          <w:lang w:val="fr-FR"/>
        </w:rPr>
        <w:fldChar w:fldCharType="end"/>
      </w:r>
      <w:r w:rsidR="006565C8" w:rsidRPr="00874348">
        <w:rPr>
          <w:rFonts w:eastAsia="Times New Roman"/>
          <w:lang w:val="fr-FR"/>
        </w:rPr>
        <w:t>.  </w:t>
      </w:r>
      <w:r w:rsidRPr="00874348">
        <w:rPr>
          <w:rFonts w:eastAsia="Times New Roman" w:cstheme="minorHAnsi"/>
          <w:lang w:val="fr-FR"/>
        </w:rPr>
        <w:t>À</w:t>
      </w:r>
      <w:r w:rsidRPr="00874348">
        <w:rPr>
          <w:rFonts w:eastAsia="Times New Roman"/>
          <w:lang w:val="fr-FR"/>
        </w:rPr>
        <w:t xml:space="preserve"> la différence des présentes requêtes, le dédommagement matériel demandé par les requérants dans l</w:t>
      </w:r>
      <w:r w:rsidR="00874348" w:rsidRPr="00874348">
        <w:rPr>
          <w:rFonts w:eastAsia="Times New Roman"/>
          <w:lang w:val="fr-FR"/>
        </w:rPr>
        <w:t>’</w:t>
      </w:r>
      <w:r w:rsidRPr="00874348">
        <w:rPr>
          <w:rFonts w:eastAsia="Times New Roman"/>
          <w:lang w:val="fr-FR"/>
        </w:rPr>
        <w:t>affaire susmentionnée était lié à la circonstance que les requérants, thalassémiques, n</w:t>
      </w:r>
      <w:r w:rsidR="00874348" w:rsidRPr="00874348">
        <w:rPr>
          <w:rFonts w:eastAsia="Times New Roman"/>
          <w:lang w:val="fr-FR"/>
        </w:rPr>
        <w:t>’</w:t>
      </w:r>
      <w:r w:rsidRPr="00874348">
        <w:rPr>
          <w:rFonts w:eastAsia="Times New Roman"/>
          <w:lang w:val="fr-FR"/>
        </w:rPr>
        <w:t>avaient pas bénéficié du règlement amiable proposé, dans la même situation, aux personnes hémophiles, raison pour laquelle la Cour avait conclu à la violation de l</w:t>
      </w:r>
      <w:r w:rsidR="00874348" w:rsidRPr="00874348">
        <w:rPr>
          <w:rFonts w:eastAsia="Times New Roman"/>
          <w:lang w:val="fr-FR"/>
        </w:rPr>
        <w:t>’</w:t>
      </w:r>
      <w:r w:rsidRPr="00874348">
        <w:rPr>
          <w:rFonts w:eastAsia="Times New Roman"/>
          <w:lang w:val="fr-FR"/>
        </w:rPr>
        <w:t>article 14 de la Convention (</w:t>
      </w:r>
      <w:r w:rsidRPr="00874348">
        <w:rPr>
          <w:rFonts w:eastAsia="Times New Roman"/>
          <w:i/>
          <w:lang w:val="fr-FR"/>
        </w:rPr>
        <w:t>G.N. et autres c. Italie</w:t>
      </w:r>
      <w:r w:rsidRPr="00874348">
        <w:rPr>
          <w:rFonts w:eastAsia="Times New Roman"/>
          <w:lang w:val="fr-FR"/>
        </w:rPr>
        <w:t>, n</w:t>
      </w:r>
      <w:r w:rsidRPr="00874348">
        <w:rPr>
          <w:rFonts w:eastAsia="Times New Roman"/>
          <w:vertAlign w:val="superscript"/>
          <w:lang w:val="fr-FR"/>
        </w:rPr>
        <w:t>o</w:t>
      </w:r>
      <w:r w:rsidRPr="00874348">
        <w:rPr>
          <w:rFonts w:eastAsia="Times New Roman"/>
          <w:lang w:val="fr-FR"/>
        </w:rPr>
        <w:t xml:space="preserve"> 43134/05</w:t>
      </w:r>
      <w:r w:rsidRPr="00874348">
        <w:rPr>
          <w:rFonts w:eastAsia="Times New Roman"/>
          <w:snapToGrid w:val="0"/>
          <w:lang w:val="fr-FR"/>
        </w:rPr>
        <w:t>, § 142, 1</w:t>
      </w:r>
      <w:r w:rsidRPr="00874348">
        <w:rPr>
          <w:rFonts w:eastAsia="Times New Roman"/>
          <w:snapToGrid w:val="0"/>
          <w:vertAlign w:val="superscript"/>
          <w:lang w:val="fr-FR"/>
        </w:rPr>
        <w:t>er </w:t>
      </w:r>
      <w:r w:rsidRPr="00874348">
        <w:rPr>
          <w:rFonts w:eastAsia="Times New Roman"/>
          <w:lang w:val="fr-FR"/>
        </w:rPr>
        <w:t>décembre</w:t>
      </w:r>
      <w:r w:rsidRPr="00874348">
        <w:rPr>
          <w:rFonts w:eastAsia="Times New Roman"/>
          <w:snapToGrid w:val="0"/>
          <w:lang w:val="fr-FR"/>
        </w:rPr>
        <w:t xml:space="preserve"> 2009, arrêt sur le fond)</w:t>
      </w:r>
      <w:r w:rsidRPr="00874348">
        <w:rPr>
          <w:rFonts w:eastAsia="Times New Roman"/>
          <w:lang w:val="fr-FR"/>
        </w:rPr>
        <w:t>. Quant à cet aspect, les parties ont abouti au règlement amiable de leur affaire devant la Cour.</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185</w:t>
      </w:r>
      <w:r w:rsidRPr="00874348">
        <w:rPr>
          <w:rFonts w:eastAsia="Times New Roman"/>
          <w:lang w:val="fr-FR"/>
        </w:rPr>
        <w:fldChar w:fldCharType="end"/>
      </w:r>
      <w:r w:rsidRPr="00874348">
        <w:rPr>
          <w:rFonts w:eastAsia="Times New Roman"/>
          <w:lang w:val="fr-FR"/>
        </w:rPr>
        <w:t>.  Compte de ces considérations, et des montants habituellement alloués par la Cour au titre de l</w:t>
      </w:r>
      <w:r w:rsidR="00874348" w:rsidRPr="00874348">
        <w:rPr>
          <w:rFonts w:eastAsia="Times New Roman"/>
          <w:lang w:val="fr-FR"/>
        </w:rPr>
        <w:t>’</w:t>
      </w:r>
      <w:r w:rsidRPr="00874348">
        <w:rPr>
          <w:rFonts w:eastAsia="Times New Roman"/>
          <w:lang w:val="fr-FR"/>
        </w:rPr>
        <w:t>article 41 dans des affaires similaires, la Cour estime que le montant fixé par le décret-loi n</w:t>
      </w:r>
      <w:r w:rsidRPr="00874348">
        <w:rPr>
          <w:rFonts w:eastAsia="Times New Roman"/>
          <w:vertAlign w:val="superscript"/>
          <w:lang w:val="fr-FR"/>
        </w:rPr>
        <w:t>o</w:t>
      </w:r>
      <w:r w:rsidRPr="00874348">
        <w:rPr>
          <w:rFonts w:eastAsia="Times New Roman"/>
          <w:lang w:val="fr-FR"/>
        </w:rPr>
        <w:t xml:space="preserve"> 90/2014 constitue une somme adéquate en vue de conclure les procédures d</w:t>
      </w:r>
      <w:r w:rsidR="00874348" w:rsidRPr="00874348">
        <w:rPr>
          <w:rFonts w:eastAsia="Times New Roman"/>
          <w:lang w:val="fr-FR"/>
        </w:rPr>
        <w:t>’</w:t>
      </w:r>
      <w:r w:rsidRPr="00874348">
        <w:rPr>
          <w:rFonts w:eastAsia="Times New Roman"/>
          <w:lang w:val="fr-FR"/>
        </w:rPr>
        <w:t>indemnisation en cours.</w:t>
      </w:r>
    </w:p>
    <w:p w:rsidR="00506071" w:rsidRPr="00874348" w:rsidRDefault="00506071" w:rsidP="00874348">
      <w:pPr>
        <w:pStyle w:val="ECHRHeading5"/>
        <w:rPr>
          <w:rFonts w:eastAsia="Times New Roman"/>
          <w:lang w:val="fr-FR"/>
        </w:rPr>
      </w:pPr>
      <w:r w:rsidRPr="00874348">
        <w:rPr>
          <w:rFonts w:eastAsia="Times New Roman"/>
          <w:lang w:val="fr-FR"/>
        </w:rPr>
        <w:t>iii</w:t>
      </w:r>
      <w:r w:rsidR="004948A4" w:rsidRPr="00874348">
        <w:rPr>
          <w:rFonts w:eastAsia="Times New Roman"/>
          <w:lang w:val="fr-FR"/>
        </w:rPr>
        <w:t>.</w:t>
      </w:r>
      <w:r w:rsidRPr="00874348">
        <w:rPr>
          <w:rFonts w:eastAsia="Times New Roman"/>
          <w:lang w:val="fr-FR"/>
        </w:rPr>
        <w:t>  Les modalités de traitement des demandes d</w:t>
      </w:r>
      <w:r w:rsidR="00874348" w:rsidRPr="00874348">
        <w:rPr>
          <w:rFonts w:eastAsia="Times New Roman"/>
          <w:lang w:val="fr-FR"/>
        </w:rPr>
        <w:t>’</w:t>
      </w:r>
      <w:r w:rsidRPr="00874348">
        <w:rPr>
          <w:rFonts w:eastAsia="Times New Roman"/>
          <w:lang w:val="fr-FR"/>
        </w:rPr>
        <w:t>indemnisation formulées par les requérants, telles que prévues par la loi</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186</w:t>
      </w:r>
      <w:r w:rsidRPr="00874348">
        <w:rPr>
          <w:rFonts w:eastAsia="Times New Roman"/>
          <w:lang w:val="fr-FR"/>
        </w:rPr>
        <w:fldChar w:fldCharType="end"/>
      </w:r>
      <w:r w:rsidRPr="00874348">
        <w:rPr>
          <w:rFonts w:eastAsia="Times New Roman"/>
          <w:lang w:val="fr-FR"/>
        </w:rPr>
        <w:t>.  La Cour note que le délai prévu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en vue de la clôture des opérations de payement (le 31 décembre 2017 au plus tard) n</w:t>
      </w:r>
      <w:r w:rsidR="00874348" w:rsidRPr="00874348">
        <w:rPr>
          <w:rFonts w:eastAsia="Times New Roman"/>
          <w:lang w:val="fr-FR"/>
        </w:rPr>
        <w:t>’</w:t>
      </w:r>
      <w:r w:rsidRPr="00874348">
        <w:rPr>
          <w:rFonts w:eastAsia="Times New Roman"/>
          <w:lang w:val="fr-FR"/>
        </w:rPr>
        <w:t>est pas excessivement long, compte tenu du nombre global des demandes introduites afin d</w:t>
      </w:r>
      <w:r w:rsidR="00874348" w:rsidRPr="00874348">
        <w:rPr>
          <w:rFonts w:eastAsia="Times New Roman"/>
          <w:lang w:val="fr-FR"/>
        </w:rPr>
        <w:t>’</w:t>
      </w:r>
      <w:r w:rsidRPr="00874348">
        <w:rPr>
          <w:rFonts w:eastAsia="Times New Roman"/>
          <w:lang w:val="fr-FR"/>
        </w:rPr>
        <w:t>accéder aux règlements amiables des affaires (environ 7 000) et donc du nombre potentiel des demandes visant à obtenir la somme établie à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187</w:t>
      </w:r>
      <w:r w:rsidRPr="00874348">
        <w:rPr>
          <w:rFonts w:eastAsia="Times New Roman"/>
          <w:lang w:val="fr-FR"/>
        </w:rPr>
        <w:fldChar w:fldCharType="end"/>
      </w:r>
      <w:r w:rsidRPr="00874348">
        <w:rPr>
          <w:rFonts w:eastAsia="Times New Roman"/>
          <w:lang w:val="fr-FR"/>
        </w:rPr>
        <w:t>.  Elle relève aussi que le Gouvernement a mis en place un plan d</w:t>
      </w:r>
      <w:r w:rsidR="00874348" w:rsidRPr="00874348">
        <w:rPr>
          <w:rFonts w:eastAsia="Times New Roman"/>
          <w:lang w:val="fr-FR"/>
        </w:rPr>
        <w:t>’</w:t>
      </w:r>
      <w:r w:rsidRPr="00874348">
        <w:rPr>
          <w:rFonts w:eastAsia="Times New Roman"/>
          <w:lang w:val="fr-FR"/>
        </w:rPr>
        <w:t>action pluriannuel prévoyant la clôture d</w:t>
      </w:r>
      <w:r w:rsidR="00874348" w:rsidRPr="00874348">
        <w:rPr>
          <w:rFonts w:eastAsia="Times New Roman"/>
          <w:lang w:val="fr-FR"/>
        </w:rPr>
        <w:t>’</w:t>
      </w:r>
      <w:r w:rsidRPr="00874348">
        <w:rPr>
          <w:rFonts w:eastAsia="Times New Roman"/>
          <w:lang w:val="fr-FR"/>
        </w:rPr>
        <w:t>une première tranche d</w:t>
      </w:r>
      <w:r w:rsidR="00874348" w:rsidRPr="00874348">
        <w:rPr>
          <w:rFonts w:eastAsia="Times New Roman"/>
          <w:lang w:val="fr-FR"/>
        </w:rPr>
        <w:t>’</w:t>
      </w:r>
      <w:r w:rsidRPr="00874348">
        <w:rPr>
          <w:rFonts w:eastAsia="Times New Roman"/>
          <w:lang w:val="fr-FR"/>
        </w:rPr>
        <w:t>environ 1 000 dossiers avant le 31 décembre 2014 et d</w:t>
      </w:r>
      <w:r w:rsidR="00874348" w:rsidRPr="00874348">
        <w:rPr>
          <w:rFonts w:eastAsia="Times New Roman"/>
          <w:lang w:val="fr-FR"/>
        </w:rPr>
        <w:t>’</w:t>
      </w:r>
      <w:r w:rsidRPr="00874348">
        <w:rPr>
          <w:rFonts w:eastAsia="Times New Roman"/>
          <w:lang w:val="fr-FR"/>
        </w:rPr>
        <w:t>une deuxième tranche d</w:t>
      </w:r>
      <w:r w:rsidR="00874348" w:rsidRPr="00874348">
        <w:rPr>
          <w:rFonts w:eastAsia="Times New Roman"/>
          <w:lang w:val="fr-FR"/>
        </w:rPr>
        <w:t>’</w:t>
      </w:r>
      <w:r w:rsidRPr="00874348">
        <w:rPr>
          <w:rFonts w:eastAsia="Times New Roman"/>
          <w:lang w:val="fr-FR"/>
        </w:rPr>
        <w:t>environ 1 835 dossiers par an avant le 31 décembre 2017. Selon les informations fournies par le Gouvernement le 17 septembre 2015, 900 ordres de payement ont été émis à ce jour depuis l</w:t>
      </w:r>
      <w:r w:rsidR="00874348" w:rsidRPr="00874348">
        <w:rPr>
          <w:rFonts w:eastAsia="Times New Roman"/>
          <w:lang w:val="fr-FR"/>
        </w:rPr>
        <w:t>’</w:t>
      </w:r>
      <w:r w:rsidRPr="00874348">
        <w:rPr>
          <w:rFonts w:eastAsia="Times New Roman"/>
          <w:lang w:val="fr-FR"/>
        </w:rPr>
        <w:t>entrée en vigueur du décret-loi n</w:t>
      </w:r>
      <w:r w:rsidRPr="00874348">
        <w:rPr>
          <w:rFonts w:eastAsia="Times New Roman"/>
          <w:vertAlign w:val="superscript"/>
          <w:lang w:val="fr-FR"/>
        </w:rPr>
        <w:t>o</w:t>
      </w:r>
      <w:r w:rsidRPr="00874348">
        <w:rPr>
          <w:rFonts w:eastAsia="Times New Roman"/>
          <w:lang w:val="fr-FR"/>
        </w:rPr>
        <w:t xml:space="preserve"> 90/2014 (ce chiffre se réfère aux demandes acceptées et non pas à celles traitées).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188</w:t>
      </w:r>
      <w:r w:rsidRPr="00874348">
        <w:rPr>
          <w:rFonts w:eastAsia="Times New Roman"/>
          <w:lang w:val="fr-FR"/>
        </w:rPr>
        <w:fldChar w:fldCharType="end"/>
      </w:r>
      <w:r w:rsidRPr="00874348">
        <w:rPr>
          <w:rFonts w:eastAsia="Times New Roman"/>
          <w:lang w:val="fr-FR"/>
        </w:rPr>
        <w:t>.  En outre, l</w:t>
      </w:r>
      <w:r w:rsidR="00874348" w:rsidRPr="00874348">
        <w:rPr>
          <w:rFonts w:eastAsia="Times New Roman"/>
          <w:lang w:val="fr-FR"/>
        </w:rPr>
        <w:t>’</w:t>
      </w:r>
      <w:r w:rsidRPr="00874348">
        <w:rPr>
          <w:rFonts w:eastAsia="Times New Roman"/>
          <w:lang w:val="fr-FR"/>
        </w:rPr>
        <w:t>alinéa 1 de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xml:space="preserve"> 90/2014 prévoit des critères de priorité dans l</w:t>
      </w:r>
      <w:r w:rsidR="00874348" w:rsidRPr="00874348">
        <w:rPr>
          <w:rFonts w:eastAsia="Times New Roman"/>
          <w:lang w:val="fr-FR"/>
        </w:rPr>
        <w:t>’</w:t>
      </w:r>
      <w:r w:rsidRPr="00874348">
        <w:rPr>
          <w:rFonts w:eastAsia="Times New Roman"/>
          <w:lang w:val="fr-FR"/>
        </w:rPr>
        <w:t>octroi de la somme prévue, tenant compte de la gravité de l</w:t>
      </w:r>
      <w:r w:rsidR="00874348" w:rsidRPr="00874348">
        <w:rPr>
          <w:rFonts w:eastAsia="Times New Roman"/>
          <w:lang w:val="fr-FR"/>
        </w:rPr>
        <w:t>’</w:t>
      </w:r>
      <w:r w:rsidRPr="00874348">
        <w:rPr>
          <w:rFonts w:eastAsia="Times New Roman"/>
          <w:lang w:val="fr-FR"/>
        </w:rPr>
        <w:t>infirmité des ayants droits et, en cas de parité, des difficultés financières des demandeurs.</w:t>
      </w:r>
    </w:p>
    <w:p w:rsidR="00506071" w:rsidRPr="00874348" w:rsidRDefault="00506071" w:rsidP="00874348">
      <w:pPr>
        <w:pStyle w:val="ECHRPara"/>
        <w:rPr>
          <w:rFonts w:eastAsia="Times New Roman"/>
          <w:lang w:val="fr-FR"/>
        </w:rPr>
      </w:pPr>
      <w:r w:rsidRPr="00874348">
        <w:rPr>
          <w:rFonts w:eastAsia="Times New Roman"/>
          <w:lang w:val="fr-FR"/>
        </w:rPr>
        <w:lastRenderedPageBreak/>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189</w:t>
      </w:r>
      <w:r w:rsidRPr="00874348">
        <w:rPr>
          <w:rFonts w:eastAsia="Times New Roman"/>
          <w:lang w:val="fr-FR"/>
        </w:rPr>
        <w:fldChar w:fldCharType="end"/>
      </w:r>
      <w:r w:rsidRPr="00874348">
        <w:rPr>
          <w:rFonts w:eastAsia="Times New Roman"/>
          <w:lang w:val="fr-FR"/>
        </w:rPr>
        <w:t>.  Relevant enfin que la somme en cause sera octroyée aux personnes concernées en un seul versement, la Cour estime que les modalités de traitement des demandes d</w:t>
      </w:r>
      <w:r w:rsidR="00874348" w:rsidRPr="00874348">
        <w:rPr>
          <w:rFonts w:eastAsia="Times New Roman"/>
          <w:lang w:val="fr-FR"/>
        </w:rPr>
        <w:t>’</w:t>
      </w:r>
      <w:r w:rsidRPr="00874348">
        <w:rPr>
          <w:rFonts w:eastAsia="Times New Roman"/>
          <w:lang w:val="fr-FR"/>
        </w:rPr>
        <w:t>indemnisation prévues par le Gouvernement sont satisfaisantes.</w:t>
      </w:r>
    </w:p>
    <w:p w:rsidR="00506071" w:rsidRPr="00874348" w:rsidRDefault="00506071" w:rsidP="00874348">
      <w:pPr>
        <w:pStyle w:val="ECHRHeading4"/>
        <w:rPr>
          <w:rFonts w:eastAsia="Times New Roman"/>
          <w:lang w:val="fr-FR"/>
        </w:rPr>
      </w:pPr>
      <w:r w:rsidRPr="00874348">
        <w:rPr>
          <w:rFonts w:eastAsia="Times New Roman"/>
          <w:lang w:val="fr-FR"/>
        </w:rPr>
        <w:t>c)  Conclusion</w:t>
      </w:r>
    </w:p>
    <w:p w:rsidR="00506071" w:rsidRPr="00874348" w:rsidRDefault="00506071" w:rsidP="00874348">
      <w:pPr>
        <w:pStyle w:val="ECHRPara"/>
        <w:rPr>
          <w:rFonts w:eastAsia="Times New Roman"/>
          <w:i/>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190</w:t>
      </w:r>
      <w:r w:rsidRPr="00874348">
        <w:rPr>
          <w:rFonts w:eastAsia="Times New Roman"/>
          <w:lang w:val="fr-FR"/>
        </w:rPr>
        <w:fldChar w:fldCharType="end"/>
      </w:r>
      <w:r w:rsidRPr="00874348">
        <w:rPr>
          <w:rFonts w:eastAsia="Times New Roman"/>
          <w:lang w:val="fr-FR"/>
        </w:rPr>
        <w:t>.  La Cour considère que les requérants ont le choix entre la poursuite de la procédure en dédommagement et l</w:t>
      </w:r>
      <w:r w:rsidR="00874348" w:rsidRPr="00874348">
        <w:rPr>
          <w:rFonts w:eastAsia="Times New Roman"/>
          <w:lang w:val="fr-FR"/>
        </w:rPr>
        <w:t>’</w:t>
      </w:r>
      <w:r w:rsidRPr="00874348">
        <w:rPr>
          <w:rFonts w:eastAsia="Times New Roman"/>
          <w:lang w:val="fr-FR"/>
        </w:rPr>
        <w:t>acceptation du montant plafonné prévu par le décret-loi n</w:t>
      </w:r>
      <w:r w:rsidRPr="00874348">
        <w:rPr>
          <w:rFonts w:eastAsia="Times New Roman"/>
          <w:vertAlign w:val="superscript"/>
          <w:lang w:val="fr-FR"/>
        </w:rPr>
        <w:t>o</w:t>
      </w:r>
      <w:r w:rsidRPr="00874348">
        <w:rPr>
          <w:rFonts w:eastAsia="Times New Roman"/>
          <w:lang w:val="fr-FR"/>
        </w:rPr>
        <w:t xml:space="preserve"> 90/2014. En outre, il leur est loisible de revenir devant la Cour dans le cas où, après le 31 décembre 2017, le remède en cause devait s</w:t>
      </w:r>
      <w:r w:rsidR="00874348" w:rsidRPr="00874348">
        <w:rPr>
          <w:rFonts w:eastAsia="Times New Roman"/>
          <w:lang w:val="fr-FR"/>
        </w:rPr>
        <w:t>’</w:t>
      </w:r>
      <w:r w:rsidRPr="00874348">
        <w:rPr>
          <w:rFonts w:eastAsia="Times New Roman"/>
          <w:lang w:val="fr-FR"/>
        </w:rPr>
        <w:t xml:space="preserve">avérer inefficace pour la solution de leurs affaires (voir, </w:t>
      </w:r>
      <w:r w:rsidRPr="00874348">
        <w:rPr>
          <w:rFonts w:eastAsia="Times New Roman"/>
          <w:i/>
          <w:lang w:val="fr-FR"/>
        </w:rPr>
        <w:t>mutatis mutandis</w:t>
      </w:r>
      <w:r w:rsidRPr="00874348">
        <w:rPr>
          <w:rFonts w:eastAsia="Times New Roman"/>
          <w:lang w:val="fr-FR"/>
        </w:rPr>
        <w:t xml:space="preserve">, </w:t>
      </w:r>
      <w:r w:rsidRPr="00874348">
        <w:rPr>
          <w:rFonts w:eastAsia="Times New Roman"/>
          <w:i/>
          <w:lang w:val="fr-FR"/>
        </w:rPr>
        <w:t>Rutkowski et autres c. Pologne</w:t>
      </w:r>
      <w:r w:rsidRPr="00874348">
        <w:rPr>
          <w:rFonts w:eastAsia="Times New Roman"/>
          <w:lang w:val="fr-FR"/>
        </w:rPr>
        <w:t>, n</w:t>
      </w:r>
      <w:r w:rsidRPr="00874348">
        <w:rPr>
          <w:rFonts w:eastAsia="Times New Roman"/>
          <w:vertAlign w:val="superscript"/>
          <w:lang w:val="fr-FR"/>
        </w:rPr>
        <w:t>os</w:t>
      </w:r>
      <w:r w:rsidR="00385ABF" w:rsidRPr="00874348">
        <w:rPr>
          <w:rFonts w:eastAsia="Times New Roman"/>
          <w:lang w:val="fr-FR"/>
        </w:rPr>
        <w:t xml:space="preserve"> 72287/10, 13927/11 et </w:t>
      </w:r>
      <w:r w:rsidRPr="00874348">
        <w:rPr>
          <w:rFonts w:eastAsia="Times New Roman"/>
          <w:lang w:val="fr-FR"/>
        </w:rPr>
        <w:t>46187/11</w:t>
      </w:r>
      <w:r w:rsidRPr="00874348">
        <w:rPr>
          <w:rFonts w:eastAsia="Times New Roman"/>
          <w:snapToGrid w:val="0"/>
          <w:lang w:val="fr-FR"/>
        </w:rPr>
        <w:t xml:space="preserve">, § 226, 7 </w:t>
      </w:r>
      <w:r w:rsidRPr="00874348">
        <w:rPr>
          <w:rFonts w:eastAsia="Times New Roman"/>
          <w:lang w:val="fr-FR"/>
        </w:rPr>
        <w:t>juillet</w:t>
      </w:r>
      <w:r w:rsidRPr="00874348">
        <w:rPr>
          <w:rFonts w:eastAsia="Times New Roman"/>
          <w:snapToGrid w:val="0"/>
          <w:lang w:val="fr-FR"/>
        </w:rPr>
        <w:t xml:space="preserve"> 2015)</w:t>
      </w:r>
      <w:r w:rsidRPr="00874348">
        <w:rPr>
          <w:rFonts w:eastAsia="Times New Roman"/>
          <w:lang w:val="fr-FR"/>
        </w:rPr>
        <w:t>.</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191</w:t>
      </w:r>
      <w:r w:rsidRPr="00874348">
        <w:rPr>
          <w:rFonts w:eastAsia="Times New Roman"/>
          <w:lang w:val="fr-FR"/>
        </w:rPr>
        <w:fldChar w:fldCharType="end"/>
      </w:r>
      <w:r w:rsidRPr="00874348">
        <w:rPr>
          <w:rFonts w:eastAsia="Times New Roman"/>
          <w:lang w:val="fr-FR"/>
        </w:rPr>
        <w:t>.  A la lumière de ce qui précède, la Cour estime que le remède mis en place par l</w:t>
      </w:r>
      <w:r w:rsidR="00874348" w:rsidRPr="00874348">
        <w:rPr>
          <w:rFonts w:eastAsia="Times New Roman"/>
          <w:lang w:val="fr-FR"/>
        </w:rPr>
        <w:t>’</w:t>
      </w:r>
      <w:r w:rsidRPr="00874348">
        <w:rPr>
          <w:rFonts w:eastAsia="Times New Roman"/>
          <w:lang w:val="fr-FR"/>
        </w:rPr>
        <w:t>article 27-</w:t>
      </w:r>
      <w:r w:rsidRPr="00874348">
        <w:rPr>
          <w:rFonts w:eastAsia="Times New Roman"/>
          <w:i/>
          <w:lang w:val="fr-FR"/>
        </w:rPr>
        <w:t>bis</w:t>
      </w:r>
      <w:r w:rsidRPr="00874348">
        <w:rPr>
          <w:rFonts w:eastAsia="Times New Roman"/>
          <w:lang w:val="fr-FR"/>
        </w:rPr>
        <w:t xml:space="preserve"> du décret-loi n</w:t>
      </w:r>
      <w:r w:rsidRPr="00874348">
        <w:rPr>
          <w:rFonts w:eastAsia="Times New Roman"/>
          <w:vertAlign w:val="superscript"/>
          <w:lang w:val="fr-FR"/>
        </w:rPr>
        <w:t>o</w:t>
      </w:r>
      <w:r w:rsidRPr="00874348">
        <w:rPr>
          <w:rFonts w:eastAsia="Times New Roman"/>
          <w:lang w:val="fr-FR"/>
        </w:rPr>
        <w:t> 90/2014 constitue une voie de recours à épuiser au sens de l</w:t>
      </w:r>
      <w:r w:rsidR="00874348" w:rsidRPr="00874348">
        <w:rPr>
          <w:rFonts w:eastAsia="Times New Roman"/>
          <w:lang w:val="fr-FR"/>
        </w:rPr>
        <w:t>’</w:t>
      </w:r>
      <w:r w:rsidRPr="00874348">
        <w:rPr>
          <w:rFonts w:eastAsia="Times New Roman"/>
          <w:lang w:val="fr-FR"/>
        </w:rPr>
        <w:t>article 35 § 1.</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192</w:t>
      </w:r>
      <w:r w:rsidRPr="00874348">
        <w:rPr>
          <w:rFonts w:eastAsia="Times New Roman"/>
          <w:lang w:val="fr-FR"/>
        </w:rPr>
        <w:fldChar w:fldCharType="end"/>
      </w:r>
      <w:r w:rsidRPr="00874348">
        <w:rPr>
          <w:rFonts w:eastAsia="Times New Roman"/>
          <w:lang w:val="fr-FR"/>
        </w:rPr>
        <w:t>.  Cette partie des requêtes doit donc être rejetée pour non-épuisement des voies de recours internes conformément à l</w:t>
      </w:r>
      <w:r w:rsidR="00874348" w:rsidRPr="00874348">
        <w:rPr>
          <w:rFonts w:eastAsia="Times New Roman"/>
          <w:lang w:val="fr-FR"/>
        </w:rPr>
        <w:t>’</w:t>
      </w:r>
      <w:r w:rsidRPr="00874348">
        <w:rPr>
          <w:rFonts w:eastAsia="Times New Roman"/>
          <w:lang w:val="fr-FR"/>
        </w:rPr>
        <w:t>article 35 §§ 1 et 4 de la Convention.</w:t>
      </w:r>
    </w:p>
    <w:p w:rsidR="00506071" w:rsidRPr="00874348" w:rsidRDefault="00506071" w:rsidP="00874348">
      <w:pPr>
        <w:pStyle w:val="ECHRHeading1"/>
        <w:rPr>
          <w:rFonts w:eastAsia="Times New Roman"/>
          <w:lang w:val="fr-FR"/>
        </w:rPr>
      </w:pPr>
      <w:r w:rsidRPr="00874348">
        <w:rPr>
          <w:rFonts w:eastAsia="Times New Roman"/>
          <w:lang w:val="fr-FR"/>
        </w:rPr>
        <w:t>V.  SUR L</w:t>
      </w:r>
      <w:r w:rsidR="00874348" w:rsidRPr="00874348">
        <w:rPr>
          <w:rFonts w:eastAsia="Times New Roman"/>
          <w:lang w:val="fr-FR"/>
        </w:rPr>
        <w:t>’</w:t>
      </w:r>
      <w:r w:rsidRPr="00874348">
        <w:rPr>
          <w:rFonts w:eastAsia="Times New Roman"/>
          <w:lang w:val="fr-FR"/>
        </w:rPr>
        <w:t>APPLICATION DE L</w:t>
      </w:r>
      <w:r w:rsidR="00874348" w:rsidRPr="00874348">
        <w:rPr>
          <w:rFonts w:eastAsia="Times New Roman"/>
          <w:lang w:val="fr-FR"/>
        </w:rPr>
        <w:t>’</w:t>
      </w:r>
      <w:r w:rsidRPr="00874348">
        <w:rPr>
          <w:rFonts w:eastAsia="Times New Roman"/>
          <w:lang w:val="fr-FR"/>
        </w:rPr>
        <w:t>ARTICLE 41 DE LA CONVENTION</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193</w:t>
      </w:r>
      <w:r w:rsidRPr="00874348">
        <w:rPr>
          <w:rFonts w:eastAsia="Times New Roman"/>
          <w:lang w:val="fr-FR"/>
        </w:rPr>
        <w:fldChar w:fldCharType="end"/>
      </w:r>
      <w:r w:rsidRPr="00874348">
        <w:rPr>
          <w:rFonts w:eastAsia="Times New Roman"/>
          <w:lang w:val="fr-FR"/>
        </w:rPr>
        <w:t>.  Aux termes de l</w:t>
      </w:r>
      <w:r w:rsidR="00874348" w:rsidRPr="00874348">
        <w:rPr>
          <w:rFonts w:eastAsia="Times New Roman"/>
          <w:lang w:val="fr-FR"/>
        </w:rPr>
        <w:t>’</w:t>
      </w:r>
      <w:r w:rsidRPr="00874348">
        <w:rPr>
          <w:rFonts w:eastAsia="Times New Roman"/>
          <w:lang w:val="fr-FR"/>
        </w:rPr>
        <w:t>article 41 de la Convention,</w:t>
      </w:r>
    </w:p>
    <w:p w:rsidR="00506071" w:rsidRPr="00874348" w:rsidRDefault="00506071" w:rsidP="00874348">
      <w:pPr>
        <w:pStyle w:val="ECHRParaQuote"/>
        <w:rPr>
          <w:rFonts w:eastAsia="Times New Roman"/>
          <w:lang w:val="fr-FR"/>
        </w:rPr>
      </w:pPr>
      <w:r w:rsidRPr="00874348">
        <w:rPr>
          <w:rFonts w:eastAsia="Times New Roman"/>
          <w:lang w:val="fr-FR"/>
        </w:rPr>
        <w:t>« Si la Cour déclare qu</w:t>
      </w:r>
      <w:r w:rsidR="00874348" w:rsidRPr="00874348">
        <w:rPr>
          <w:rFonts w:eastAsia="Times New Roman"/>
          <w:lang w:val="fr-FR"/>
        </w:rPr>
        <w:t>’</w:t>
      </w:r>
      <w:r w:rsidRPr="00874348">
        <w:rPr>
          <w:rFonts w:eastAsia="Times New Roman"/>
          <w:lang w:val="fr-FR"/>
        </w:rPr>
        <w:t>il y a eu violation de la Convention ou de ses Protocoles, et si le droit interne de la Haute Partie contractante ne permet d</w:t>
      </w:r>
      <w:r w:rsidR="00874348" w:rsidRPr="00874348">
        <w:rPr>
          <w:rFonts w:eastAsia="Times New Roman"/>
          <w:lang w:val="fr-FR"/>
        </w:rPr>
        <w:t>’</w:t>
      </w:r>
      <w:r w:rsidRPr="00874348">
        <w:rPr>
          <w:rFonts w:eastAsia="Times New Roman"/>
          <w:lang w:val="fr-FR"/>
        </w:rPr>
        <w:t>effacer qu</w:t>
      </w:r>
      <w:r w:rsidR="00874348" w:rsidRPr="00874348">
        <w:rPr>
          <w:rFonts w:eastAsia="Times New Roman"/>
          <w:lang w:val="fr-FR"/>
        </w:rPr>
        <w:t>’</w:t>
      </w:r>
      <w:r w:rsidRPr="00874348">
        <w:rPr>
          <w:rFonts w:eastAsia="Times New Roman"/>
          <w:lang w:val="fr-FR"/>
        </w:rPr>
        <w:t>imparfaitement les conséquences de cette violation, la Cour accorde à la partie lésée, s</w:t>
      </w:r>
      <w:r w:rsidR="00874348" w:rsidRPr="00874348">
        <w:rPr>
          <w:rFonts w:eastAsia="Times New Roman"/>
          <w:lang w:val="fr-FR"/>
        </w:rPr>
        <w:t>’</w:t>
      </w:r>
      <w:r w:rsidRPr="00874348">
        <w:rPr>
          <w:rFonts w:eastAsia="Times New Roman"/>
          <w:lang w:val="fr-FR"/>
        </w:rPr>
        <w:t>il y a lieu, une satisfaction équitable. »</w:t>
      </w:r>
    </w:p>
    <w:p w:rsidR="00506071" w:rsidRPr="00874348" w:rsidRDefault="00506071" w:rsidP="00874348">
      <w:pPr>
        <w:pStyle w:val="ECHRHeading2"/>
        <w:rPr>
          <w:rFonts w:eastAsia="Times New Roman"/>
          <w:lang w:val="fr-FR"/>
        </w:rPr>
      </w:pPr>
      <w:r w:rsidRPr="00874348">
        <w:rPr>
          <w:rFonts w:eastAsia="Times New Roman"/>
          <w:lang w:val="fr-FR"/>
        </w:rPr>
        <w:t>A.  Dommage</w:t>
      </w:r>
    </w:p>
    <w:p w:rsidR="00506071" w:rsidRPr="00874348" w:rsidRDefault="006565C8" w:rsidP="00874348">
      <w:pPr>
        <w:pStyle w:val="ECHRHeading3"/>
        <w:rPr>
          <w:rFonts w:eastAsia="Times New Roman"/>
          <w:lang w:val="fr-FR"/>
        </w:rPr>
      </w:pPr>
      <w:r w:rsidRPr="00874348">
        <w:rPr>
          <w:rFonts w:eastAsia="Times New Roman"/>
          <w:lang w:val="fr-FR"/>
        </w:rPr>
        <w:t>1.  </w:t>
      </w:r>
      <w:r w:rsidR="00506071" w:rsidRPr="00874348">
        <w:rPr>
          <w:rFonts w:eastAsia="Times New Roman"/>
          <w:lang w:val="fr-FR"/>
        </w:rPr>
        <w:t>Concernant la requête n</w:t>
      </w:r>
      <w:r w:rsidR="00506071" w:rsidRPr="00874348">
        <w:rPr>
          <w:rFonts w:eastAsia="Times New Roman"/>
          <w:vertAlign w:val="superscript"/>
          <w:lang w:val="fr-FR"/>
        </w:rPr>
        <w:t>o</w:t>
      </w:r>
      <w:r w:rsidR="00506071" w:rsidRPr="00874348">
        <w:rPr>
          <w:rFonts w:eastAsia="Times New Roman"/>
          <w:lang w:val="fr-FR"/>
        </w:rPr>
        <w:t xml:space="preserve"> 8154/12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194</w:t>
      </w:r>
      <w:r w:rsidRPr="00874348">
        <w:rPr>
          <w:rFonts w:eastAsia="Times New Roman"/>
          <w:lang w:val="fr-FR"/>
        </w:rPr>
        <w:fldChar w:fldCharType="end"/>
      </w:r>
      <w:r w:rsidRPr="00874348">
        <w:rPr>
          <w:rFonts w:eastAsia="Times New Roman"/>
          <w:lang w:val="fr-FR"/>
        </w:rPr>
        <w:t>.  Les représentants des requérants de la requête n</w:t>
      </w:r>
      <w:r w:rsidRPr="00874348">
        <w:rPr>
          <w:rFonts w:eastAsia="Times New Roman"/>
          <w:vertAlign w:val="superscript"/>
          <w:lang w:val="fr-FR"/>
        </w:rPr>
        <w:t>o</w:t>
      </w:r>
      <w:r w:rsidRPr="00874348">
        <w:rPr>
          <w:rFonts w:eastAsia="Times New Roman"/>
          <w:lang w:val="fr-FR"/>
        </w:rPr>
        <w:t xml:space="preserve"> 8154/12 (dont font partie les sept requérants pour lesquels la Cour a conclu à la violation des articles 6 § 1 et 13 de la Convention et 1 du Protocole n</w:t>
      </w:r>
      <w:r w:rsidRPr="00874348">
        <w:rPr>
          <w:rFonts w:eastAsia="Times New Roman"/>
          <w:vertAlign w:val="superscript"/>
          <w:lang w:val="fr-FR"/>
        </w:rPr>
        <w:t>o</w:t>
      </w:r>
      <w:r w:rsidRPr="00874348">
        <w:rPr>
          <w:rFonts w:eastAsia="Times New Roman"/>
          <w:lang w:val="fr-FR"/>
        </w:rPr>
        <w:t xml:space="preserve"> 1) demandent pour l</w:t>
      </w:r>
      <w:r w:rsidR="00874348" w:rsidRPr="00874348">
        <w:rPr>
          <w:rFonts w:eastAsia="Times New Roman"/>
          <w:lang w:val="fr-FR"/>
        </w:rPr>
        <w:t>’</w:t>
      </w:r>
      <w:r w:rsidRPr="00874348">
        <w:rPr>
          <w:rFonts w:eastAsia="Times New Roman"/>
          <w:lang w:val="fr-FR"/>
        </w:rPr>
        <w:t>ensemble des trois-cent-six requérants les sommes reconnues dans les règlements amiables internes à d</w:t>
      </w:r>
      <w:r w:rsidR="00874348" w:rsidRPr="00874348">
        <w:rPr>
          <w:rFonts w:eastAsia="Times New Roman"/>
          <w:lang w:val="fr-FR"/>
        </w:rPr>
        <w:t>’</w:t>
      </w:r>
      <w:r w:rsidRPr="00874348">
        <w:rPr>
          <w:rFonts w:eastAsia="Times New Roman"/>
          <w:lang w:val="fr-FR"/>
        </w:rPr>
        <w:t>autres personnes se trouvant dans des situations similaires. Ils quantifient ces dernières en 464 811,21 EUR pour les requérants infectés et 619 748,28 EUR pour leur héritiers.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195</w:t>
      </w:r>
      <w:r w:rsidRPr="00874348">
        <w:rPr>
          <w:rFonts w:eastAsia="Times New Roman"/>
          <w:lang w:val="fr-FR"/>
        </w:rPr>
        <w:fldChar w:fldCharType="end"/>
      </w:r>
      <w:r w:rsidRPr="00874348">
        <w:rPr>
          <w:rFonts w:eastAsia="Times New Roman"/>
          <w:lang w:val="fr-FR"/>
        </w:rPr>
        <w:t>.  Ils réclament également 39 000 EUR au titre du préjudice moral subi par leurs clients.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196</w:t>
      </w:r>
      <w:r w:rsidRPr="00874348">
        <w:rPr>
          <w:rFonts w:eastAsia="Times New Roman"/>
          <w:lang w:val="fr-FR"/>
        </w:rPr>
        <w:fldChar w:fldCharType="end"/>
      </w:r>
      <w:r w:rsidRPr="00874348">
        <w:rPr>
          <w:rFonts w:eastAsia="Times New Roman"/>
          <w:lang w:val="fr-FR"/>
        </w:rPr>
        <w:t>.  Le Gouvernement s</w:t>
      </w:r>
      <w:r w:rsidR="00874348" w:rsidRPr="00874348">
        <w:rPr>
          <w:rFonts w:eastAsia="Times New Roman"/>
          <w:lang w:val="fr-FR"/>
        </w:rPr>
        <w:t>’</w:t>
      </w:r>
      <w:r w:rsidRPr="00874348">
        <w:rPr>
          <w:rFonts w:eastAsia="Times New Roman"/>
          <w:lang w:val="fr-FR"/>
        </w:rPr>
        <w:t>oppose à ces prétentions.</w:t>
      </w:r>
    </w:p>
    <w:p w:rsidR="00506071" w:rsidRPr="00874348" w:rsidRDefault="00506071" w:rsidP="00874348">
      <w:pPr>
        <w:pStyle w:val="ECHRPara"/>
        <w:rPr>
          <w:rFonts w:eastAsia="Times New Roman"/>
          <w:szCs w:val="24"/>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197</w:t>
      </w:r>
      <w:r w:rsidRPr="00874348">
        <w:rPr>
          <w:rFonts w:eastAsia="Times New Roman"/>
          <w:lang w:val="fr-FR"/>
        </w:rPr>
        <w:fldChar w:fldCharType="end"/>
      </w:r>
      <w:r w:rsidRPr="00874348">
        <w:rPr>
          <w:rFonts w:eastAsia="Times New Roman"/>
          <w:lang w:val="fr-FR"/>
        </w:rPr>
        <w:t xml:space="preserve">.  Quant au préjudice matériel, la Cour estime que, concernant la situation propre au sept requérants en cause, il y a lieu de confirmer </w:t>
      </w:r>
      <w:r w:rsidRPr="00874348">
        <w:rPr>
          <w:rFonts w:eastAsia="Times New Roman"/>
          <w:lang w:val="fr-FR"/>
        </w:rPr>
        <w:lastRenderedPageBreak/>
        <w:t>l</w:t>
      </w:r>
      <w:r w:rsidR="00874348" w:rsidRPr="00874348">
        <w:rPr>
          <w:rFonts w:eastAsia="Times New Roman"/>
          <w:lang w:val="fr-FR"/>
        </w:rPr>
        <w:t>’</w:t>
      </w:r>
      <w:r w:rsidRPr="00874348">
        <w:rPr>
          <w:rFonts w:eastAsia="Times New Roman"/>
          <w:lang w:val="fr-FR"/>
        </w:rPr>
        <w:t>obligation de payer à ces derniers les sommes qui leur ont été reconnues sur le plan interne et qui n</w:t>
      </w:r>
      <w:r w:rsidR="00874348" w:rsidRPr="00874348">
        <w:rPr>
          <w:rFonts w:eastAsia="Times New Roman"/>
          <w:lang w:val="fr-FR"/>
        </w:rPr>
        <w:t>’</w:t>
      </w:r>
      <w:r w:rsidRPr="00874348">
        <w:rPr>
          <w:rFonts w:eastAsia="Times New Roman"/>
          <w:lang w:val="fr-FR"/>
        </w:rPr>
        <w:t xml:space="preserve">ont toutefois pas encore été payées (voir, </w:t>
      </w:r>
      <w:r w:rsidRPr="00874348">
        <w:rPr>
          <w:rFonts w:eastAsia="Times New Roman"/>
          <w:i/>
          <w:lang w:val="fr-FR"/>
        </w:rPr>
        <w:t>mutatis mutandis</w:t>
      </w:r>
      <w:r w:rsidRPr="00874348">
        <w:rPr>
          <w:rFonts w:eastAsia="Times New Roman"/>
          <w:lang w:val="fr-FR"/>
        </w:rPr>
        <w:t xml:space="preserve">, </w:t>
      </w:r>
      <w:r w:rsidRPr="00874348">
        <w:rPr>
          <w:rFonts w:eastAsia="Times New Roman"/>
          <w:i/>
          <w:szCs w:val="24"/>
          <w:lang w:val="fr-FR"/>
        </w:rPr>
        <w:t>Mikhaïlenki et autres c. Ukraine</w:t>
      </w:r>
      <w:r w:rsidRPr="00874348">
        <w:rPr>
          <w:rFonts w:eastAsia="Times New Roman"/>
          <w:szCs w:val="24"/>
          <w:lang w:val="fr-FR"/>
        </w:rPr>
        <w:t>, n</w:t>
      </w:r>
      <w:r w:rsidRPr="00874348">
        <w:rPr>
          <w:rFonts w:ascii="Times New (W1)" w:eastAsia="Times New Roman" w:hAnsi="Times New (W1)"/>
          <w:szCs w:val="24"/>
          <w:vertAlign w:val="superscript"/>
          <w:lang w:val="fr-FR"/>
        </w:rPr>
        <w:t>os</w:t>
      </w:r>
      <w:r w:rsidRPr="00874348">
        <w:rPr>
          <w:rFonts w:eastAsia="Times New Roman"/>
          <w:szCs w:val="24"/>
          <w:lang w:val="fr-FR"/>
        </w:rPr>
        <w:t xml:space="preserve"> 35196/02, 35201/02, 35204/02, 35945/02, 35949/02, 35953/02, 36800/02, 38296/02 et 42814/02, § 67, </w:t>
      </w:r>
      <w:r w:rsidRPr="00874348">
        <w:rPr>
          <w:rFonts w:eastAsia="Times New Roman"/>
          <w:lang w:val="fr-FR"/>
        </w:rPr>
        <w:t>CEDH 2004</w:t>
      </w:r>
      <w:r w:rsidRPr="00874348">
        <w:rPr>
          <w:rFonts w:eastAsia="Times New Roman"/>
          <w:lang w:val="fr-FR"/>
        </w:rPr>
        <w:noBreakHyphen/>
        <w:t>XII), à savoir, les montants suivant</w:t>
      </w:r>
      <w:r w:rsidR="00244AF7" w:rsidRPr="00874348">
        <w:rPr>
          <w:rFonts w:eastAsia="Times New Roman"/>
          <w:lang w:val="fr-FR"/>
        </w:rPr>
        <w:t>s</w:t>
      </w:r>
      <w:r w:rsidRPr="00874348">
        <w:rPr>
          <w:rFonts w:eastAsia="Times New Roman"/>
          <w:lang w:val="fr-FR"/>
        </w:rPr>
        <w:t> :</w:t>
      </w:r>
    </w:p>
    <w:p w:rsidR="006E6DAC" w:rsidRPr="00874348" w:rsidRDefault="006E6DAC" w:rsidP="00874348">
      <w:pPr>
        <w:pStyle w:val="ECHRPara"/>
        <w:rPr>
          <w:lang w:val="es-ES_tradnl"/>
        </w:rPr>
      </w:pPr>
      <w:r w:rsidRPr="00874348">
        <w:rPr>
          <w:lang w:val="es-ES_tradnl"/>
        </w:rPr>
        <w:t>-  n</w:t>
      </w:r>
      <w:r w:rsidRPr="00874348">
        <w:rPr>
          <w:vertAlign w:val="superscript"/>
          <w:lang w:val="es-ES_tradnl"/>
        </w:rPr>
        <w:t>o</w:t>
      </w:r>
      <w:r w:rsidRPr="00874348">
        <w:rPr>
          <w:lang w:val="es-ES_tradnl"/>
        </w:rPr>
        <w:t xml:space="preserve"> 50 M.C. [1] :131 674,84 EUR</w:t>
      </w:r>
    </w:p>
    <w:p w:rsidR="006E6DAC" w:rsidRPr="00874348" w:rsidRDefault="006E6DAC" w:rsidP="00874348">
      <w:pPr>
        <w:pStyle w:val="ECHRPara"/>
        <w:rPr>
          <w:lang w:val="es-ES_tradnl"/>
        </w:rPr>
      </w:pPr>
      <w:r w:rsidRPr="00874348">
        <w:rPr>
          <w:lang w:val="es-ES_tradnl"/>
        </w:rPr>
        <w:t>-  n</w:t>
      </w:r>
      <w:r w:rsidRPr="00874348">
        <w:rPr>
          <w:vertAlign w:val="superscript"/>
          <w:lang w:val="es-ES_tradnl"/>
        </w:rPr>
        <w:t>o</w:t>
      </w:r>
      <w:r w:rsidRPr="00874348">
        <w:rPr>
          <w:lang w:val="es-ES_tradnl"/>
        </w:rPr>
        <w:t xml:space="preserve"> 57 M.C. [2] : 111 099,18 EUR</w:t>
      </w:r>
    </w:p>
    <w:p w:rsidR="00506071" w:rsidRPr="00874348" w:rsidRDefault="006565C8" w:rsidP="00874348">
      <w:pPr>
        <w:pStyle w:val="ECHRPara"/>
        <w:rPr>
          <w:rFonts w:eastAsia="Times New Roman"/>
          <w:lang w:val="es-ES_tradnl"/>
        </w:rPr>
      </w:pPr>
      <w:r w:rsidRPr="00874348">
        <w:rPr>
          <w:rFonts w:eastAsia="Times New Roman"/>
          <w:lang w:val="es-ES_tradnl"/>
        </w:rPr>
        <w:t>-  </w:t>
      </w:r>
      <w:r w:rsidR="00506071" w:rsidRPr="00874348">
        <w:rPr>
          <w:rFonts w:eastAsia="Times New Roman"/>
          <w:lang w:val="es-ES_tradnl"/>
        </w:rPr>
        <w:t>n</w:t>
      </w:r>
      <w:r w:rsidR="00506071" w:rsidRPr="00874348">
        <w:rPr>
          <w:rFonts w:eastAsia="Times New Roman"/>
          <w:vertAlign w:val="superscript"/>
          <w:lang w:val="es-ES_tradnl"/>
        </w:rPr>
        <w:t>o</w:t>
      </w:r>
      <w:r w:rsidR="00506071" w:rsidRPr="00874348">
        <w:rPr>
          <w:rFonts w:eastAsia="Times New Roman"/>
          <w:lang w:val="es-ES_tradnl"/>
        </w:rPr>
        <w:t xml:space="preserve"> 200 M</w:t>
      </w:r>
      <w:r w:rsidR="006E6DAC" w:rsidRPr="00874348">
        <w:rPr>
          <w:rFonts w:eastAsia="Times New Roman"/>
          <w:lang w:val="es-ES_tradnl"/>
        </w:rPr>
        <w:t>.</w:t>
      </w:r>
      <w:r w:rsidR="00506071" w:rsidRPr="00874348">
        <w:rPr>
          <w:rFonts w:eastAsia="Times New Roman"/>
          <w:lang w:val="es-ES_tradnl"/>
        </w:rPr>
        <w:t>A</w:t>
      </w:r>
      <w:r w:rsidR="006E6DAC" w:rsidRPr="00874348">
        <w:rPr>
          <w:rFonts w:eastAsia="Times New Roman"/>
          <w:lang w:val="es-ES_tradnl"/>
        </w:rPr>
        <w:t>.</w:t>
      </w:r>
      <w:r w:rsidR="00506071" w:rsidRPr="00874348">
        <w:rPr>
          <w:rFonts w:eastAsia="Times New Roman"/>
          <w:lang w:val="es-ES_tradnl"/>
        </w:rPr>
        <w:t>N</w:t>
      </w:r>
      <w:r w:rsidR="006E6DAC" w:rsidRPr="00874348">
        <w:rPr>
          <w:rFonts w:eastAsia="Times New Roman"/>
          <w:lang w:val="es-ES_tradnl"/>
        </w:rPr>
        <w:t>. :</w:t>
      </w:r>
      <w:r w:rsidR="00506071" w:rsidRPr="00874348">
        <w:rPr>
          <w:rFonts w:eastAsia="Times New Roman"/>
          <w:lang w:val="es-ES_tradnl"/>
        </w:rPr>
        <w:t xml:space="preserve"> 44 099,34 EUR</w:t>
      </w:r>
    </w:p>
    <w:p w:rsidR="00506071" w:rsidRPr="00874348" w:rsidRDefault="006565C8" w:rsidP="00874348">
      <w:pPr>
        <w:pStyle w:val="ECHRPara"/>
        <w:rPr>
          <w:rFonts w:eastAsia="Times New Roman"/>
          <w:lang w:val="es-ES_tradnl"/>
        </w:rPr>
      </w:pPr>
      <w:r w:rsidRPr="00874348">
        <w:rPr>
          <w:rFonts w:eastAsia="Times New Roman"/>
          <w:lang w:val="es-ES_tradnl"/>
        </w:rPr>
        <w:t>-  </w:t>
      </w:r>
      <w:r w:rsidR="00506071" w:rsidRPr="00874348">
        <w:rPr>
          <w:rFonts w:eastAsia="Times New Roman"/>
          <w:lang w:val="es-ES_tradnl"/>
        </w:rPr>
        <w:t>n</w:t>
      </w:r>
      <w:r w:rsidR="00506071" w:rsidRPr="00874348">
        <w:rPr>
          <w:rFonts w:eastAsia="Times New Roman"/>
          <w:vertAlign w:val="superscript"/>
          <w:lang w:val="es-ES_tradnl"/>
        </w:rPr>
        <w:t>o</w:t>
      </w:r>
      <w:r w:rsidR="00506071" w:rsidRPr="00874348">
        <w:rPr>
          <w:rFonts w:eastAsia="Times New Roman"/>
          <w:lang w:val="es-ES_tradnl"/>
        </w:rPr>
        <w:t xml:space="preserve"> 226 G</w:t>
      </w:r>
      <w:r w:rsidR="006E6DAC" w:rsidRPr="00874348">
        <w:rPr>
          <w:rFonts w:eastAsia="Times New Roman"/>
          <w:lang w:val="es-ES_tradnl"/>
        </w:rPr>
        <w:t>.</w:t>
      </w:r>
      <w:r w:rsidR="00506071" w:rsidRPr="00874348">
        <w:rPr>
          <w:rFonts w:eastAsia="Times New Roman"/>
          <w:lang w:val="es-ES_tradnl"/>
        </w:rPr>
        <w:t>P</w:t>
      </w:r>
      <w:r w:rsidR="006E6DAC" w:rsidRPr="00874348">
        <w:rPr>
          <w:rFonts w:eastAsia="Times New Roman"/>
          <w:lang w:val="es-ES_tradnl"/>
        </w:rPr>
        <w:t>.</w:t>
      </w:r>
      <w:r w:rsidR="006E6DAC" w:rsidRPr="00874348">
        <w:rPr>
          <w:lang w:val="es-ES_tradnl"/>
        </w:rPr>
        <w:t xml:space="preserve"> [1]</w:t>
      </w:r>
      <w:r w:rsidR="006E6DAC" w:rsidRPr="00874348">
        <w:rPr>
          <w:rFonts w:eastAsia="Times New Roman"/>
          <w:lang w:val="es-ES_tradnl"/>
        </w:rPr>
        <w:t> </w:t>
      </w:r>
      <w:r w:rsidR="00506071" w:rsidRPr="00874348">
        <w:rPr>
          <w:rFonts w:eastAsia="Times New Roman"/>
          <w:lang w:val="es-ES_tradnl"/>
        </w:rPr>
        <w:t>: 236 750,05 EUR</w:t>
      </w:r>
    </w:p>
    <w:p w:rsidR="00506071" w:rsidRPr="00874348" w:rsidRDefault="006565C8" w:rsidP="00874348">
      <w:pPr>
        <w:pStyle w:val="ECHRPara"/>
        <w:rPr>
          <w:rFonts w:eastAsia="Times New Roman"/>
          <w:lang w:val="es-ES_tradnl"/>
        </w:rPr>
      </w:pPr>
      <w:r w:rsidRPr="00874348">
        <w:rPr>
          <w:rFonts w:eastAsia="Times New Roman"/>
          <w:lang w:val="es-ES_tradnl"/>
        </w:rPr>
        <w:t>-  </w:t>
      </w:r>
      <w:r w:rsidR="00506071" w:rsidRPr="00874348">
        <w:rPr>
          <w:rFonts w:eastAsia="Times New Roman"/>
          <w:lang w:val="es-ES_tradnl"/>
        </w:rPr>
        <w:t>n</w:t>
      </w:r>
      <w:r w:rsidR="00506071" w:rsidRPr="00874348">
        <w:rPr>
          <w:rFonts w:eastAsia="Times New Roman"/>
          <w:vertAlign w:val="superscript"/>
          <w:lang w:val="es-ES_tradnl"/>
        </w:rPr>
        <w:t>o</w:t>
      </w:r>
      <w:r w:rsidR="006E6DAC" w:rsidRPr="00874348">
        <w:rPr>
          <w:rFonts w:eastAsia="Times New Roman"/>
          <w:lang w:val="es-ES_tradnl"/>
        </w:rPr>
        <w:t xml:space="preserve"> 227 T.</w:t>
      </w:r>
      <w:r w:rsidR="00506071" w:rsidRPr="00874348">
        <w:rPr>
          <w:rFonts w:eastAsia="Times New Roman"/>
          <w:lang w:val="es-ES_tradnl"/>
        </w:rPr>
        <w:t>P</w:t>
      </w:r>
      <w:r w:rsidR="006E6DAC" w:rsidRPr="00874348">
        <w:rPr>
          <w:rFonts w:eastAsia="Times New Roman"/>
          <w:lang w:val="es-ES_tradnl"/>
        </w:rPr>
        <w:t>. :</w:t>
      </w:r>
      <w:r w:rsidR="00506071" w:rsidRPr="00874348">
        <w:rPr>
          <w:rFonts w:eastAsia="Times New Roman"/>
          <w:lang w:val="es-ES_tradnl"/>
        </w:rPr>
        <w:t xml:space="preserve"> 350 955,53 EUR</w:t>
      </w:r>
    </w:p>
    <w:p w:rsidR="00506071" w:rsidRPr="00874348" w:rsidRDefault="006565C8" w:rsidP="00874348">
      <w:pPr>
        <w:pStyle w:val="ECHRPara"/>
        <w:rPr>
          <w:rFonts w:eastAsia="Times New Roman"/>
          <w:lang w:val="es-ES_tradnl"/>
        </w:rPr>
      </w:pPr>
      <w:r w:rsidRPr="00874348">
        <w:rPr>
          <w:rFonts w:eastAsia="Times New Roman"/>
          <w:lang w:val="es-ES_tradnl"/>
        </w:rPr>
        <w:t>-  </w:t>
      </w:r>
      <w:r w:rsidR="00506071" w:rsidRPr="00874348">
        <w:rPr>
          <w:rFonts w:eastAsia="Times New Roman"/>
          <w:lang w:val="es-ES_tradnl"/>
        </w:rPr>
        <w:t>n</w:t>
      </w:r>
      <w:r w:rsidR="00506071" w:rsidRPr="00874348">
        <w:rPr>
          <w:rFonts w:eastAsia="Times New Roman"/>
          <w:vertAlign w:val="superscript"/>
          <w:lang w:val="es-ES_tradnl"/>
        </w:rPr>
        <w:t>o</w:t>
      </w:r>
      <w:r w:rsidR="00506071" w:rsidRPr="00874348">
        <w:rPr>
          <w:rFonts w:eastAsia="Times New Roman"/>
          <w:lang w:val="es-ES_tradnl"/>
        </w:rPr>
        <w:t xml:space="preserve"> 231 G</w:t>
      </w:r>
      <w:r w:rsidR="006E6DAC" w:rsidRPr="00874348">
        <w:rPr>
          <w:rFonts w:eastAsia="Times New Roman"/>
          <w:lang w:val="es-ES_tradnl"/>
        </w:rPr>
        <w:t>.</w:t>
      </w:r>
      <w:r w:rsidR="00506071" w:rsidRPr="00874348">
        <w:rPr>
          <w:rFonts w:eastAsia="Times New Roman"/>
          <w:lang w:val="es-ES_tradnl"/>
        </w:rPr>
        <w:t>P</w:t>
      </w:r>
      <w:r w:rsidR="006E6DAC" w:rsidRPr="00874348">
        <w:rPr>
          <w:rFonts w:eastAsia="Times New Roman"/>
          <w:lang w:val="es-ES_tradnl"/>
        </w:rPr>
        <w:t>.</w:t>
      </w:r>
      <w:r w:rsidR="006E6DAC" w:rsidRPr="00874348">
        <w:rPr>
          <w:lang w:val="es-ES_tradnl"/>
        </w:rPr>
        <w:t xml:space="preserve"> [2]</w:t>
      </w:r>
      <w:r w:rsidR="006E6DAC" w:rsidRPr="00874348">
        <w:rPr>
          <w:rFonts w:eastAsia="Times New Roman"/>
          <w:lang w:val="es-ES_tradnl"/>
        </w:rPr>
        <w:t> </w:t>
      </w:r>
      <w:r w:rsidR="00506071" w:rsidRPr="00874348">
        <w:rPr>
          <w:rFonts w:eastAsia="Times New Roman"/>
          <w:lang w:val="es-ES_tradnl"/>
        </w:rPr>
        <w:t>: 181 540,15 EUR</w:t>
      </w:r>
    </w:p>
    <w:p w:rsidR="00506071" w:rsidRPr="00874348" w:rsidRDefault="00506071" w:rsidP="00874348">
      <w:pPr>
        <w:pStyle w:val="ECHRPara"/>
        <w:rPr>
          <w:rFonts w:eastAsia="Times New Roman"/>
          <w:szCs w:val="24"/>
          <w:lang w:val="es-ES_tradnl"/>
        </w:rPr>
      </w:pPr>
      <w:r w:rsidRPr="00874348">
        <w:rPr>
          <w:rFonts w:eastAsia="Times New Roman"/>
          <w:szCs w:val="24"/>
          <w:lang w:val="es-ES_tradnl"/>
        </w:rPr>
        <w:t>-</w:t>
      </w:r>
      <w:r w:rsidR="006565C8" w:rsidRPr="00874348">
        <w:rPr>
          <w:rFonts w:eastAsia="Times New Roman"/>
          <w:szCs w:val="24"/>
          <w:lang w:val="es-ES_tradnl"/>
        </w:rPr>
        <w:t>  </w:t>
      </w:r>
      <w:r w:rsidRPr="00874348">
        <w:rPr>
          <w:rFonts w:eastAsia="Times New Roman"/>
          <w:szCs w:val="24"/>
          <w:lang w:val="es-ES_tradnl"/>
        </w:rPr>
        <w:t>n</w:t>
      </w:r>
      <w:r w:rsidRPr="00874348">
        <w:rPr>
          <w:rFonts w:eastAsia="Times New Roman"/>
          <w:szCs w:val="24"/>
          <w:vertAlign w:val="superscript"/>
          <w:lang w:val="es-ES_tradnl"/>
        </w:rPr>
        <w:t>o</w:t>
      </w:r>
      <w:r w:rsidRPr="00874348">
        <w:rPr>
          <w:rFonts w:eastAsia="Times New Roman"/>
          <w:szCs w:val="24"/>
          <w:lang w:val="es-ES_tradnl"/>
        </w:rPr>
        <w:t xml:space="preserve"> 268 G</w:t>
      </w:r>
      <w:r w:rsidR="006E6DAC" w:rsidRPr="00874348">
        <w:rPr>
          <w:rFonts w:eastAsia="Times New Roman"/>
          <w:szCs w:val="24"/>
          <w:lang w:val="es-ES_tradnl"/>
        </w:rPr>
        <w:t>.</w:t>
      </w:r>
      <w:r w:rsidRPr="00874348">
        <w:rPr>
          <w:rFonts w:eastAsia="Times New Roman"/>
          <w:szCs w:val="24"/>
          <w:lang w:val="es-ES_tradnl"/>
        </w:rPr>
        <w:t>S</w:t>
      </w:r>
      <w:r w:rsidR="006E6DAC" w:rsidRPr="00874348">
        <w:rPr>
          <w:rFonts w:eastAsia="Times New Roman"/>
          <w:szCs w:val="24"/>
          <w:lang w:val="es-ES_tradnl"/>
        </w:rPr>
        <w:t>.</w:t>
      </w:r>
      <w:r w:rsidRPr="00874348">
        <w:rPr>
          <w:rFonts w:eastAsia="Times New Roman"/>
          <w:szCs w:val="24"/>
          <w:lang w:val="es-ES_tradnl"/>
        </w:rPr>
        <w:t> : 73 886,20 EUR</w:t>
      </w:r>
    </w:p>
    <w:p w:rsidR="00506071" w:rsidRPr="00874348" w:rsidRDefault="00506071" w:rsidP="00874348">
      <w:pPr>
        <w:pStyle w:val="ECHRPara"/>
        <w:rPr>
          <w:rFonts w:ascii="Times New Roman" w:eastAsia="Times New Roman" w:hAnsi="Times New Roman" w:cs="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198</w:t>
      </w:r>
      <w:r w:rsidRPr="00874348">
        <w:rPr>
          <w:rFonts w:eastAsia="Times New Roman"/>
          <w:lang w:val="fr-FR"/>
        </w:rPr>
        <w:fldChar w:fldCharType="end"/>
      </w:r>
      <w:r w:rsidRPr="00874348">
        <w:rPr>
          <w:rFonts w:eastAsia="Times New Roman"/>
          <w:lang w:val="fr-FR"/>
        </w:rPr>
        <w:t>.  La Cour considère, en outre, qu</w:t>
      </w:r>
      <w:r w:rsidR="00874348" w:rsidRPr="00874348">
        <w:rPr>
          <w:rFonts w:eastAsia="Times New Roman"/>
          <w:lang w:val="fr-FR"/>
        </w:rPr>
        <w:t>’</w:t>
      </w:r>
      <w:r w:rsidRPr="00874348">
        <w:rPr>
          <w:rFonts w:eastAsia="Times New Roman"/>
          <w:lang w:val="fr-FR"/>
        </w:rPr>
        <w:t>il y a lieu d</w:t>
      </w:r>
      <w:r w:rsidR="00874348" w:rsidRPr="00874348">
        <w:rPr>
          <w:rFonts w:eastAsia="Times New Roman"/>
          <w:lang w:val="fr-FR"/>
        </w:rPr>
        <w:t>’</w:t>
      </w:r>
      <w:r w:rsidRPr="00874348">
        <w:rPr>
          <w:rFonts w:eastAsia="Times New Roman"/>
          <w:lang w:val="fr-FR"/>
        </w:rPr>
        <w:t>octroyer à ces requérants 10 000 EUR chacun au titre du préjudice moral.</w:t>
      </w:r>
    </w:p>
    <w:p w:rsidR="00506071" w:rsidRPr="00874348" w:rsidRDefault="006565C8" w:rsidP="00874348">
      <w:pPr>
        <w:pStyle w:val="ECHRHeading3"/>
        <w:rPr>
          <w:rFonts w:eastAsia="Times New Roman"/>
          <w:lang w:val="fr-FR"/>
        </w:rPr>
      </w:pPr>
      <w:r w:rsidRPr="00874348">
        <w:rPr>
          <w:rFonts w:eastAsia="Times New Roman"/>
          <w:lang w:val="fr-FR"/>
        </w:rPr>
        <w:t>2.  </w:t>
      </w:r>
      <w:r w:rsidR="00506071" w:rsidRPr="00874348">
        <w:rPr>
          <w:rFonts w:eastAsia="Times New Roman"/>
          <w:lang w:val="fr-FR"/>
        </w:rPr>
        <w:t>Concernant les requêtes n</w:t>
      </w:r>
      <w:r w:rsidR="00506071" w:rsidRPr="00874348">
        <w:rPr>
          <w:rFonts w:eastAsia="Times New Roman"/>
          <w:vertAlign w:val="superscript"/>
          <w:lang w:val="fr-FR"/>
        </w:rPr>
        <w:t>o</w:t>
      </w:r>
      <w:r w:rsidR="00506071" w:rsidRPr="00874348">
        <w:rPr>
          <w:rFonts w:eastAsia="Times New Roman"/>
          <w:lang w:val="fr-FR"/>
        </w:rPr>
        <w:t xml:space="preserve"> 1 à 15 à l</w:t>
      </w:r>
      <w:r w:rsidR="00874348" w:rsidRPr="00874348">
        <w:rPr>
          <w:rFonts w:eastAsia="Times New Roman"/>
          <w:lang w:val="fr-FR"/>
        </w:rPr>
        <w:t>’</w:t>
      </w:r>
      <w:r w:rsidR="00506071" w:rsidRPr="00874348">
        <w:rPr>
          <w:rFonts w:eastAsia="Times New Roman"/>
          <w:lang w:val="fr-FR"/>
        </w:rPr>
        <w:t>exception de la requête n</w:t>
      </w:r>
      <w:r w:rsidR="00506071" w:rsidRPr="00874348">
        <w:rPr>
          <w:rFonts w:eastAsia="Times New Roman"/>
          <w:vertAlign w:val="superscript"/>
          <w:lang w:val="fr-FR"/>
        </w:rPr>
        <w:t>o</w:t>
      </w:r>
      <w:r w:rsidR="00506071" w:rsidRPr="00874348">
        <w:rPr>
          <w:rFonts w:eastAsia="Times New Roman"/>
          <w:lang w:val="fr-FR"/>
        </w:rPr>
        <w:t> 64572/13 et de la requête introduite par la requérante indiquée au n</w:t>
      </w:r>
      <w:r w:rsidR="00506071" w:rsidRPr="00874348">
        <w:rPr>
          <w:rFonts w:eastAsia="Times New Roman"/>
          <w:vertAlign w:val="superscript"/>
          <w:lang w:val="fr-FR"/>
        </w:rPr>
        <w:t>o</w:t>
      </w:r>
      <w:r w:rsidR="00506071" w:rsidRPr="00874348">
        <w:rPr>
          <w:rFonts w:eastAsia="Times New Roman"/>
          <w:lang w:val="fr-FR"/>
        </w:rPr>
        <w:t xml:space="preserve"> 14 de la requête n</w:t>
      </w:r>
      <w:r w:rsidR="00506071" w:rsidRPr="00874348">
        <w:rPr>
          <w:rFonts w:eastAsia="Times New Roman"/>
          <w:vertAlign w:val="superscript"/>
          <w:lang w:val="fr-FR"/>
        </w:rPr>
        <w:t>o</w:t>
      </w:r>
      <w:r w:rsidR="00506071" w:rsidRPr="00874348">
        <w:rPr>
          <w:rFonts w:eastAsia="Times New Roman"/>
          <w:lang w:val="fr-FR"/>
        </w:rPr>
        <w:t xml:space="preserve"> 68060/12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199</w:t>
      </w:r>
      <w:r w:rsidRPr="00874348">
        <w:rPr>
          <w:rFonts w:eastAsia="Times New Roman"/>
          <w:lang w:val="fr-FR"/>
        </w:rPr>
        <w:fldChar w:fldCharType="end"/>
      </w:r>
      <w:r w:rsidRPr="00874348">
        <w:rPr>
          <w:rFonts w:eastAsia="Times New Roman"/>
          <w:lang w:val="fr-FR"/>
        </w:rPr>
        <w:t>.  La Cour renvoie au tableau en annexe concernant les demandes de dédommagement matériel et moral formulées par ces requérants.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200</w:t>
      </w:r>
      <w:r w:rsidRPr="00874348">
        <w:rPr>
          <w:rFonts w:eastAsia="Times New Roman"/>
          <w:lang w:val="fr-FR"/>
        </w:rPr>
        <w:fldChar w:fldCharType="end"/>
      </w:r>
      <w:r w:rsidRPr="00874348">
        <w:rPr>
          <w:rFonts w:eastAsia="Times New Roman"/>
          <w:lang w:val="fr-FR"/>
        </w:rPr>
        <w:t>.  Le Gouvernement s</w:t>
      </w:r>
      <w:r w:rsidR="00874348" w:rsidRPr="00874348">
        <w:rPr>
          <w:rFonts w:eastAsia="Times New Roman"/>
          <w:lang w:val="fr-FR"/>
        </w:rPr>
        <w:t>’</w:t>
      </w:r>
      <w:r w:rsidRPr="00874348">
        <w:rPr>
          <w:rFonts w:eastAsia="Times New Roman"/>
          <w:lang w:val="fr-FR"/>
        </w:rPr>
        <w:t>oppose à ces prétentions.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201</w:t>
      </w:r>
      <w:r w:rsidRPr="00874348">
        <w:rPr>
          <w:rFonts w:eastAsia="Times New Roman"/>
          <w:lang w:val="fr-FR"/>
        </w:rPr>
        <w:fldChar w:fldCharType="end"/>
      </w:r>
      <w:r w:rsidRPr="00874348">
        <w:rPr>
          <w:rFonts w:eastAsia="Times New Roman"/>
          <w:lang w:val="fr-FR"/>
        </w:rPr>
        <w:t>.  La Cour n</w:t>
      </w:r>
      <w:r w:rsidR="00874348" w:rsidRPr="00874348">
        <w:rPr>
          <w:rFonts w:eastAsia="Times New Roman"/>
          <w:lang w:val="fr-FR"/>
        </w:rPr>
        <w:t>’</w:t>
      </w:r>
      <w:r w:rsidRPr="00874348">
        <w:rPr>
          <w:rFonts w:eastAsia="Times New Roman"/>
          <w:lang w:val="fr-FR"/>
        </w:rPr>
        <w:t>aperçoit pas de lien de causalité entre la violation constatée de l</w:t>
      </w:r>
      <w:r w:rsidR="00874348" w:rsidRPr="00874348">
        <w:rPr>
          <w:rFonts w:eastAsia="Times New Roman"/>
          <w:lang w:val="fr-FR"/>
        </w:rPr>
        <w:t>’</w:t>
      </w:r>
      <w:r w:rsidRPr="00874348">
        <w:rPr>
          <w:rFonts w:eastAsia="Times New Roman"/>
          <w:lang w:val="fr-FR"/>
        </w:rPr>
        <w:t>article 2 de la Convention et le dommage matériel allégué et rejette cette demande.</w:t>
      </w:r>
    </w:p>
    <w:p w:rsidR="00506071" w:rsidRPr="00874348" w:rsidRDefault="00506071" w:rsidP="00874348">
      <w:pPr>
        <w:pStyle w:val="ECHRPara"/>
        <w:rPr>
          <w:rFonts w:eastAsia="Times New Roman"/>
          <w:lang w:val="fr-FR"/>
        </w:rPr>
      </w:pPr>
      <w:r w:rsidRPr="00874348">
        <w:rPr>
          <w:lang w:val="fr-FR"/>
        </w:rPr>
        <w:fldChar w:fldCharType="begin"/>
      </w:r>
      <w:r w:rsidRPr="00874348">
        <w:rPr>
          <w:lang w:val="fr-FR"/>
        </w:rPr>
        <w:instrText xml:space="preserve"> SEQ level0 \*arabic </w:instrText>
      </w:r>
      <w:r w:rsidRPr="00874348">
        <w:rPr>
          <w:lang w:val="fr-FR"/>
        </w:rPr>
        <w:fldChar w:fldCharType="separate"/>
      </w:r>
      <w:r w:rsidR="00874348" w:rsidRPr="00874348">
        <w:rPr>
          <w:noProof/>
          <w:lang w:val="fr-FR"/>
        </w:rPr>
        <w:t>202</w:t>
      </w:r>
      <w:r w:rsidRPr="00874348">
        <w:rPr>
          <w:lang w:val="fr-FR"/>
        </w:rPr>
        <w:fldChar w:fldCharType="end"/>
      </w:r>
      <w:r w:rsidRPr="00874348">
        <w:rPr>
          <w:lang w:val="fr-FR"/>
        </w:rPr>
        <w:t>.  En revanche, elle considère qu</w:t>
      </w:r>
      <w:r w:rsidR="00874348" w:rsidRPr="00874348">
        <w:rPr>
          <w:lang w:val="fr-FR"/>
        </w:rPr>
        <w:t>’</w:t>
      </w:r>
      <w:r w:rsidRPr="00874348">
        <w:rPr>
          <w:lang w:val="fr-FR"/>
        </w:rPr>
        <w:t>il y a lieu d</w:t>
      </w:r>
      <w:r w:rsidR="00874348" w:rsidRPr="00874348">
        <w:rPr>
          <w:lang w:val="fr-FR"/>
        </w:rPr>
        <w:t>’</w:t>
      </w:r>
      <w:r w:rsidRPr="00874348">
        <w:rPr>
          <w:lang w:val="fr-FR"/>
        </w:rPr>
        <w:t xml:space="preserve">octroyer aux requérants les sommes indiquées dans le tableau en annexe au titre du préjudice moral. </w:t>
      </w:r>
      <w:r w:rsidRPr="00874348">
        <w:rPr>
          <w:rFonts w:eastAsia="Times New Roman"/>
          <w:lang w:val="fr-FR" w:eastAsia="en-GB"/>
        </w:rPr>
        <w:t>Ces sommes seront allouées conjointement aux requérants ayant introduit leur requête en tant qu</w:t>
      </w:r>
      <w:r w:rsidR="00874348" w:rsidRPr="00874348">
        <w:rPr>
          <w:rFonts w:eastAsia="Times New Roman"/>
          <w:lang w:val="fr-FR" w:eastAsia="en-GB"/>
        </w:rPr>
        <w:t>’</w:t>
      </w:r>
      <w:r w:rsidRPr="00874348">
        <w:rPr>
          <w:rFonts w:eastAsia="Times New Roman"/>
          <w:lang w:val="fr-FR" w:eastAsia="en-GB"/>
        </w:rPr>
        <w:t>héritiers d</w:t>
      </w:r>
      <w:r w:rsidR="00874348" w:rsidRPr="00874348">
        <w:rPr>
          <w:rFonts w:eastAsia="Times New Roman"/>
          <w:lang w:val="fr-FR" w:eastAsia="en-GB"/>
        </w:rPr>
        <w:t>’</w:t>
      </w:r>
      <w:r w:rsidRPr="00874348">
        <w:rPr>
          <w:rFonts w:eastAsia="Times New Roman"/>
          <w:lang w:val="fr-FR" w:eastAsia="en-GB"/>
        </w:rPr>
        <w:t>une personne infectée.</w:t>
      </w:r>
    </w:p>
    <w:p w:rsidR="00506071" w:rsidRPr="00874348" w:rsidRDefault="00506071" w:rsidP="00874348">
      <w:pPr>
        <w:pStyle w:val="ECHRHeading2"/>
        <w:rPr>
          <w:rFonts w:ascii="Times New Roman" w:hAnsi="Times New Roman" w:cs="Times New Roman"/>
          <w:b w:val="0"/>
          <w:bCs w:val="0"/>
          <w:color w:val="4D4D4D"/>
          <w:szCs w:val="24"/>
          <w:lang w:val="fr-FR"/>
        </w:rPr>
      </w:pPr>
      <w:r w:rsidRPr="00874348">
        <w:rPr>
          <w:lang w:val="fr-FR"/>
        </w:rPr>
        <w:t>B.  Frais et dépens</w:t>
      </w:r>
    </w:p>
    <w:p w:rsidR="00506071" w:rsidRPr="00874348" w:rsidRDefault="006565C8" w:rsidP="00874348">
      <w:pPr>
        <w:pStyle w:val="ECHRHeading3"/>
        <w:rPr>
          <w:rFonts w:eastAsia="Times New Roman"/>
          <w:lang w:val="fr-FR"/>
        </w:rPr>
      </w:pPr>
      <w:r w:rsidRPr="00874348">
        <w:rPr>
          <w:rFonts w:eastAsia="Times New Roman"/>
          <w:lang w:val="fr-FR"/>
        </w:rPr>
        <w:t>1.  </w:t>
      </w:r>
      <w:r w:rsidR="00506071" w:rsidRPr="00874348">
        <w:rPr>
          <w:rFonts w:eastAsia="Times New Roman"/>
          <w:lang w:val="fr-FR"/>
        </w:rPr>
        <w:t>Concernant la requête n</w:t>
      </w:r>
      <w:r w:rsidR="00506071" w:rsidRPr="00874348">
        <w:rPr>
          <w:rFonts w:eastAsia="Times New Roman"/>
          <w:vertAlign w:val="superscript"/>
          <w:lang w:val="fr-FR"/>
        </w:rPr>
        <w:t>o</w:t>
      </w:r>
      <w:r w:rsidR="00506071" w:rsidRPr="00874348">
        <w:rPr>
          <w:rFonts w:eastAsia="Times New Roman"/>
          <w:lang w:val="fr-FR"/>
        </w:rPr>
        <w:t xml:space="preserve"> 8154/12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203</w:t>
      </w:r>
      <w:r w:rsidRPr="00874348">
        <w:rPr>
          <w:rFonts w:eastAsia="Times New Roman"/>
          <w:lang w:val="fr-FR"/>
        </w:rPr>
        <w:fldChar w:fldCharType="end"/>
      </w:r>
      <w:r w:rsidRPr="00874348">
        <w:rPr>
          <w:rFonts w:eastAsia="Times New Roman"/>
          <w:lang w:val="fr-FR"/>
        </w:rPr>
        <w:t>.  Les requérants demandent 2 000 EUR pour chacun d</w:t>
      </w:r>
      <w:r w:rsidR="00874348" w:rsidRPr="00874348">
        <w:rPr>
          <w:rFonts w:eastAsia="Times New Roman"/>
          <w:lang w:val="fr-FR"/>
        </w:rPr>
        <w:t>’</w:t>
      </w:r>
      <w:r w:rsidRPr="00874348">
        <w:rPr>
          <w:rFonts w:eastAsia="Times New Roman"/>
          <w:lang w:val="fr-FR"/>
        </w:rPr>
        <w:t>eux pour les frais et dépens engagés devant les instances internes et 200 EUR pour chacun d</w:t>
      </w:r>
      <w:r w:rsidR="00874348" w:rsidRPr="00874348">
        <w:rPr>
          <w:rFonts w:eastAsia="Times New Roman"/>
          <w:lang w:val="fr-FR"/>
        </w:rPr>
        <w:t>’</w:t>
      </w:r>
      <w:r w:rsidRPr="00874348">
        <w:rPr>
          <w:rFonts w:eastAsia="Times New Roman"/>
          <w:lang w:val="fr-FR"/>
        </w:rPr>
        <w:t>eux pour les frais et dépens soutenus devant la Cour, sans toutefois présenter de documents à l</w:t>
      </w:r>
      <w:r w:rsidR="00874348" w:rsidRPr="00874348">
        <w:rPr>
          <w:rFonts w:eastAsia="Times New Roman"/>
          <w:lang w:val="fr-FR"/>
        </w:rPr>
        <w:t>’</w:t>
      </w:r>
      <w:r w:rsidRPr="00874348">
        <w:rPr>
          <w:rFonts w:eastAsia="Times New Roman"/>
          <w:lang w:val="fr-FR"/>
        </w:rPr>
        <w:t>appui de leurs demandes.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204</w:t>
      </w:r>
      <w:r w:rsidRPr="00874348">
        <w:rPr>
          <w:rFonts w:eastAsia="Times New Roman"/>
          <w:lang w:val="fr-FR"/>
        </w:rPr>
        <w:fldChar w:fldCharType="end"/>
      </w:r>
      <w:r w:rsidRPr="00874348">
        <w:rPr>
          <w:rFonts w:eastAsia="Times New Roman"/>
          <w:lang w:val="fr-FR"/>
        </w:rPr>
        <w:t>.  Le Gouvernement s</w:t>
      </w:r>
      <w:r w:rsidR="00874348" w:rsidRPr="00874348">
        <w:rPr>
          <w:rFonts w:eastAsia="Times New Roman"/>
          <w:lang w:val="fr-FR"/>
        </w:rPr>
        <w:t>’</w:t>
      </w:r>
      <w:r w:rsidRPr="00874348">
        <w:rPr>
          <w:rFonts w:eastAsia="Times New Roman"/>
          <w:lang w:val="fr-FR"/>
        </w:rPr>
        <w:t>oppose à ces prétentions.</w:t>
      </w:r>
    </w:p>
    <w:p w:rsidR="00506071" w:rsidRPr="00874348" w:rsidRDefault="00506071" w:rsidP="00874348">
      <w:pPr>
        <w:pStyle w:val="ECHRPara"/>
        <w:rPr>
          <w:rFonts w:eastAsia="Times New Roman"/>
          <w:sz w:val="16"/>
          <w:szCs w:val="16"/>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205</w:t>
      </w:r>
      <w:r w:rsidRPr="00874348">
        <w:rPr>
          <w:rFonts w:eastAsia="Times New Roman"/>
          <w:lang w:val="fr-FR"/>
        </w:rPr>
        <w:fldChar w:fldCharType="end"/>
      </w:r>
      <w:r w:rsidRPr="00874348">
        <w:rPr>
          <w:rFonts w:eastAsia="Times New Roman"/>
          <w:lang w:val="fr-FR"/>
        </w:rPr>
        <w:t>.  Selon la jurisprudence de la Cour, un requérant ne peut obtenir le remboursement de ses frais et dépens que dans la mesure où se trouvent établis leur réalité, leur nécessité et le caractère raisonnable de leur taux.</w:t>
      </w:r>
    </w:p>
    <w:p w:rsidR="00506071" w:rsidRPr="00874348" w:rsidRDefault="00506071" w:rsidP="00874348">
      <w:pPr>
        <w:pStyle w:val="ECHRPara"/>
        <w:rPr>
          <w:rFonts w:eastAsia="Times New Roman"/>
          <w:lang w:val="fr-FR"/>
        </w:rPr>
      </w:pPr>
      <w:r w:rsidRPr="00874348">
        <w:rPr>
          <w:rFonts w:eastAsia="Times New Roman"/>
          <w:szCs w:val="24"/>
          <w:lang w:val="fr-FR"/>
        </w:rPr>
        <w:fldChar w:fldCharType="begin"/>
      </w:r>
      <w:r w:rsidRPr="00874348">
        <w:rPr>
          <w:rFonts w:eastAsia="Times New Roman"/>
          <w:szCs w:val="24"/>
          <w:lang w:val="fr-FR"/>
        </w:rPr>
        <w:instrText xml:space="preserve"> SEQ level0 \*arabic </w:instrText>
      </w:r>
      <w:r w:rsidRPr="00874348">
        <w:rPr>
          <w:rFonts w:eastAsia="Times New Roman"/>
          <w:szCs w:val="24"/>
          <w:lang w:val="fr-FR"/>
        </w:rPr>
        <w:fldChar w:fldCharType="separate"/>
      </w:r>
      <w:r w:rsidR="00874348" w:rsidRPr="00874348">
        <w:rPr>
          <w:rFonts w:eastAsia="Times New Roman"/>
          <w:noProof/>
          <w:szCs w:val="24"/>
          <w:lang w:val="fr-FR"/>
        </w:rPr>
        <w:t>206</w:t>
      </w:r>
      <w:r w:rsidRPr="00874348">
        <w:rPr>
          <w:rFonts w:eastAsia="Times New Roman"/>
          <w:szCs w:val="24"/>
          <w:lang w:val="fr-FR"/>
        </w:rPr>
        <w:fldChar w:fldCharType="end"/>
      </w:r>
      <w:r w:rsidRPr="00874348">
        <w:rPr>
          <w:rFonts w:eastAsia="Times New Roman"/>
          <w:szCs w:val="24"/>
          <w:lang w:val="fr-FR"/>
        </w:rPr>
        <w:t>.  La</w:t>
      </w:r>
      <w:r w:rsidRPr="00874348">
        <w:rPr>
          <w:rFonts w:eastAsia="Times New Roman"/>
          <w:lang w:val="fr-FR"/>
        </w:rPr>
        <w:t xml:space="preserve"> Cour estime que ces exigences ne sont pas remplies en l</w:t>
      </w:r>
      <w:r w:rsidR="00874348" w:rsidRPr="00874348">
        <w:rPr>
          <w:rFonts w:eastAsia="Times New Roman"/>
          <w:lang w:val="fr-FR"/>
        </w:rPr>
        <w:t>’</w:t>
      </w:r>
      <w:r w:rsidRPr="00874348">
        <w:rPr>
          <w:rFonts w:eastAsia="Times New Roman"/>
          <w:lang w:val="fr-FR"/>
        </w:rPr>
        <w:t>espèce. Toutefois, les requérants ont manifestement exposé certains frais et dépens. La Cour juge donc raisonnable d</w:t>
      </w:r>
      <w:r w:rsidR="00874348" w:rsidRPr="00874348">
        <w:rPr>
          <w:rFonts w:eastAsia="Times New Roman"/>
          <w:lang w:val="fr-FR"/>
        </w:rPr>
        <w:t>’</w:t>
      </w:r>
      <w:r w:rsidRPr="00874348">
        <w:rPr>
          <w:rFonts w:eastAsia="Times New Roman"/>
          <w:lang w:val="fr-FR"/>
        </w:rPr>
        <w:t xml:space="preserve">octroyer à chacun des requérants pour </w:t>
      </w:r>
      <w:r w:rsidRPr="00874348">
        <w:rPr>
          <w:rFonts w:eastAsia="Times New Roman"/>
          <w:lang w:val="fr-FR"/>
        </w:rPr>
        <w:lastRenderedPageBreak/>
        <w:t>lesquels elle a conclu à la violation des articles 6 § 1 et 13 de la Convention et 1 du Protocole n</w:t>
      </w:r>
      <w:r w:rsidRPr="00874348">
        <w:rPr>
          <w:rFonts w:eastAsia="Times New Roman"/>
          <w:vertAlign w:val="superscript"/>
          <w:lang w:val="fr-FR"/>
        </w:rPr>
        <w:t>o</w:t>
      </w:r>
      <w:r w:rsidRPr="00874348">
        <w:rPr>
          <w:rFonts w:eastAsia="Times New Roman"/>
          <w:lang w:val="fr-FR"/>
        </w:rPr>
        <w:t xml:space="preserve"> 1 à la Convention les sommes demandées pour les frais et dépens encourus respectivement devant la Cour et devant les instances nationales (</w:t>
      </w:r>
      <w:r w:rsidRPr="00874348">
        <w:rPr>
          <w:rFonts w:eastAsia="Times New Roman"/>
          <w:i/>
          <w:szCs w:val="24"/>
          <w:lang w:val="fr-FR"/>
        </w:rPr>
        <w:t>Mikhaïlenki et autres c. Ukraine</w:t>
      </w:r>
      <w:r w:rsidRPr="00874348">
        <w:rPr>
          <w:rFonts w:eastAsia="Times New Roman"/>
          <w:szCs w:val="24"/>
          <w:lang w:val="fr-FR"/>
        </w:rPr>
        <w:t>, n</w:t>
      </w:r>
      <w:r w:rsidRPr="00874348">
        <w:rPr>
          <w:rFonts w:ascii="Times New (W1)" w:eastAsia="Times New Roman" w:hAnsi="Times New (W1)"/>
          <w:szCs w:val="24"/>
          <w:vertAlign w:val="superscript"/>
          <w:lang w:val="fr-FR"/>
        </w:rPr>
        <w:t>os </w:t>
      </w:r>
      <w:r w:rsidRPr="00874348">
        <w:rPr>
          <w:rFonts w:eastAsia="Times New Roman"/>
          <w:szCs w:val="24"/>
          <w:lang w:val="fr-FR"/>
        </w:rPr>
        <w:t>35091/02, 35196/02, 35201/02, 35204/02, 35945/02, 35949/02, 35953/0</w:t>
      </w:r>
      <w:r w:rsidR="00385ABF" w:rsidRPr="00874348">
        <w:rPr>
          <w:rFonts w:eastAsia="Times New Roman"/>
          <w:szCs w:val="24"/>
          <w:lang w:val="fr-FR"/>
        </w:rPr>
        <w:t>2, 36800/02, 38296/02 et </w:t>
      </w:r>
      <w:r w:rsidRPr="00874348">
        <w:rPr>
          <w:rFonts w:eastAsia="Times New Roman"/>
          <w:szCs w:val="24"/>
          <w:lang w:val="fr-FR"/>
        </w:rPr>
        <w:t xml:space="preserve">42814/02, §§ 75-79, </w:t>
      </w:r>
      <w:r w:rsidRPr="00874348">
        <w:rPr>
          <w:rFonts w:eastAsia="Times New Roman"/>
          <w:lang w:val="fr-FR"/>
        </w:rPr>
        <w:t>CEDH 2004</w:t>
      </w:r>
      <w:r w:rsidRPr="00874348">
        <w:rPr>
          <w:rFonts w:eastAsia="Times New Roman"/>
          <w:lang w:val="fr-FR"/>
        </w:rPr>
        <w:noBreakHyphen/>
        <w:t>XII). La Cour accorde ce sommes aux requérants.</w:t>
      </w:r>
    </w:p>
    <w:p w:rsidR="00506071" w:rsidRPr="00874348" w:rsidRDefault="006565C8" w:rsidP="00874348">
      <w:pPr>
        <w:pStyle w:val="ECHRHeading3"/>
        <w:rPr>
          <w:rFonts w:eastAsia="Times New Roman"/>
          <w:lang w:val="fr-FR"/>
        </w:rPr>
      </w:pPr>
      <w:r w:rsidRPr="00874348">
        <w:rPr>
          <w:rFonts w:eastAsia="Times New Roman"/>
          <w:lang w:val="fr-FR"/>
        </w:rPr>
        <w:t>2.  </w:t>
      </w:r>
      <w:r w:rsidR="00506071" w:rsidRPr="00874348">
        <w:rPr>
          <w:rFonts w:eastAsia="Times New Roman"/>
          <w:lang w:val="fr-FR"/>
        </w:rPr>
        <w:t>Concernant les requêtes n</w:t>
      </w:r>
      <w:r w:rsidR="00506071" w:rsidRPr="00874348">
        <w:rPr>
          <w:rFonts w:eastAsia="Times New Roman"/>
          <w:vertAlign w:val="superscript"/>
          <w:lang w:val="fr-FR"/>
        </w:rPr>
        <w:t>o</w:t>
      </w:r>
      <w:r w:rsidR="00506071" w:rsidRPr="00874348">
        <w:rPr>
          <w:rFonts w:eastAsia="Times New Roman"/>
          <w:lang w:val="fr-FR"/>
        </w:rPr>
        <w:t xml:space="preserve"> 1 à 15 à l</w:t>
      </w:r>
      <w:r w:rsidR="00874348" w:rsidRPr="00874348">
        <w:rPr>
          <w:rFonts w:eastAsia="Times New Roman"/>
          <w:lang w:val="fr-FR"/>
        </w:rPr>
        <w:t>’</w:t>
      </w:r>
      <w:r w:rsidR="00506071" w:rsidRPr="00874348">
        <w:rPr>
          <w:rFonts w:eastAsia="Times New Roman"/>
          <w:lang w:val="fr-FR"/>
        </w:rPr>
        <w:t>exception de la requête n</w:t>
      </w:r>
      <w:r w:rsidR="00506071" w:rsidRPr="00874348">
        <w:rPr>
          <w:rFonts w:eastAsia="Times New Roman"/>
          <w:vertAlign w:val="superscript"/>
          <w:lang w:val="fr-FR"/>
        </w:rPr>
        <w:t>o</w:t>
      </w:r>
      <w:r w:rsidR="00506071" w:rsidRPr="00874348">
        <w:rPr>
          <w:rFonts w:eastAsia="Times New Roman"/>
          <w:lang w:val="fr-FR"/>
        </w:rPr>
        <w:t> 5 et de la requête introduite par la requérante indiquée au n</w:t>
      </w:r>
      <w:r w:rsidR="00506071" w:rsidRPr="00874348">
        <w:rPr>
          <w:rFonts w:eastAsia="Times New Roman"/>
          <w:vertAlign w:val="superscript"/>
          <w:lang w:val="fr-FR"/>
        </w:rPr>
        <w:t>o</w:t>
      </w:r>
      <w:r w:rsidR="00506071" w:rsidRPr="00874348">
        <w:rPr>
          <w:rFonts w:eastAsia="Times New Roman"/>
          <w:lang w:val="fr-FR"/>
        </w:rPr>
        <w:t xml:space="preserve"> 14 de la requête n</w:t>
      </w:r>
      <w:r w:rsidR="00506071" w:rsidRPr="00874348">
        <w:rPr>
          <w:rFonts w:eastAsia="Times New Roman"/>
          <w:vertAlign w:val="superscript"/>
          <w:lang w:val="fr-FR"/>
        </w:rPr>
        <w:t>o</w:t>
      </w:r>
      <w:r w:rsidR="00506071" w:rsidRPr="00874348">
        <w:rPr>
          <w:rFonts w:eastAsia="Times New Roman"/>
          <w:lang w:val="fr-FR"/>
        </w:rPr>
        <w:t xml:space="preserve"> 68060/12</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207</w:t>
      </w:r>
      <w:r w:rsidRPr="00874348">
        <w:rPr>
          <w:rFonts w:eastAsia="Times New Roman"/>
          <w:lang w:val="fr-FR"/>
        </w:rPr>
        <w:fldChar w:fldCharType="end"/>
      </w:r>
      <w:r w:rsidRPr="00874348">
        <w:rPr>
          <w:rFonts w:eastAsia="Times New Roman"/>
          <w:lang w:val="fr-FR"/>
        </w:rPr>
        <w:t>.  La Cour renvoie au tableau en annexe concernant les demandes de frais et dépens formulées par ces requérants, auxquelles le Gouvernement s</w:t>
      </w:r>
      <w:r w:rsidR="00874348" w:rsidRPr="00874348">
        <w:rPr>
          <w:rFonts w:eastAsia="Times New Roman"/>
          <w:lang w:val="fr-FR"/>
        </w:rPr>
        <w:t>’</w:t>
      </w:r>
      <w:r w:rsidRPr="00874348">
        <w:rPr>
          <w:rFonts w:eastAsia="Times New Roman"/>
          <w:lang w:val="fr-FR"/>
        </w:rPr>
        <w:t>oppose.</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208</w:t>
      </w:r>
      <w:r w:rsidRPr="00874348">
        <w:rPr>
          <w:rFonts w:eastAsia="Times New Roman"/>
          <w:lang w:val="fr-FR"/>
        </w:rPr>
        <w:fldChar w:fldCharType="end"/>
      </w:r>
      <w:r w:rsidRPr="00874348">
        <w:rPr>
          <w:rFonts w:eastAsia="Times New Roman"/>
          <w:lang w:val="fr-FR"/>
        </w:rPr>
        <w:t>.  Elle relève que les requérants des requêtes n</w:t>
      </w:r>
      <w:r w:rsidRPr="00874348">
        <w:rPr>
          <w:rFonts w:eastAsia="Times New Roman"/>
          <w:vertAlign w:val="superscript"/>
          <w:lang w:val="fr-FR"/>
        </w:rPr>
        <w:t>os</w:t>
      </w:r>
      <w:r w:rsidRPr="00874348">
        <w:rPr>
          <w:rFonts w:eastAsia="Times New Roman"/>
          <w:lang w:val="fr-FR"/>
        </w:rPr>
        <w:t xml:space="preserve"> 16178/13 et 23130/13 n</w:t>
      </w:r>
      <w:r w:rsidR="00874348" w:rsidRPr="00874348">
        <w:rPr>
          <w:rFonts w:eastAsia="Times New Roman"/>
          <w:lang w:val="fr-FR"/>
        </w:rPr>
        <w:t>’</w:t>
      </w:r>
      <w:r w:rsidRPr="00874348">
        <w:rPr>
          <w:rFonts w:eastAsia="Times New Roman"/>
          <w:lang w:val="fr-FR"/>
        </w:rPr>
        <w:t>ont pas présenté de documents à l</w:t>
      </w:r>
      <w:r w:rsidR="00874348" w:rsidRPr="00874348">
        <w:rPr>
          <w:rFonts w:eastAsia="Times New Roman"/>
          <w:lang w:val="fr-FR"/>
        </w:rPr>
        <w:t>’</w:t>
      </w:r>
      <w:r w:rsidRPr="00874348">
        <w:rPr>
          <w:rFonts w:eastAsia="Times New Roman"/>
          <w:lang w:val="fr-FR"/>
        </w:rPr>
        <w:t>appui de leurs demandes. Elle observe aussi que les requérants des requêtes indiquées aux n</w:t>
      </w:r>
      <w:r w:rsidRPr="00874348">
        <w:rPr>
          <w:rFonts w:eastAsia="Times New Roman"/>
          <w:vertAlign w:val="superscript"/>
          <w:lang w:val="fr-FR"/>
        </w:rPr>
        <w:t>os</w:t>
      </w:r>
      <w:r w:rsidRPr="00874348">
        <w:rPr>
          <w:rFonts w:eastAsia="Times New Roman"/>
          <w:lang w:val="fr-FR"/>
        </w:rPr>
        <w:t xml:space="preserve"> 4 et 6 à 15 dans la liste B en annexe n</w:t>
      </w:r>
      <w:r w:rsidR="00874348" w:rsidRPr="00874348">
        <w:rPr>
          <w:rFonts w:eastAsia="Times New Roman"/>
          <w:lang w:val="fr-FR"/>
        </w:rPr>
        <w:t>’</w:t>
      </w:r>
      <w:r w:rsidRPr="00874348">
        <w:rPr>
          <w:rFonts w:eastAsia="Times New Roman"/>
          <w:lang w:val="fr-FR"/>
        </w:rPr>
        <w:t>ont pas formulé de demande de remboursement pour les frais encourus devant les instances nationales.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209</w:t>
      </w:r>
      <w:r w:rsidRPr="00874348">
        <w:rPr>
          <w:rFonts w:eastAsia="Times New Roman"/>
          <w:lang w:val="fr-FR"/>
        </w:rPr>
        <w:fldChar w:fldCharType="end"/>
      </w:r>
      <w:r w:rsidRPr="00874348">
        <w:rPr>
          <w:rFonts w:eastAsia="Times New Roman"/>
          <w:lang w:val="fr-FR"/>
        </w:rPr>
        <w:t>.  Selon la jurisprudence de la Cour, un requérant ne peut obtenir le remboursement de ses frais et dépens que dans la mesure où se trouvent établis leur réalité, leur nécessité et le caractère raisonnable de leur taux.</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210</w:t>
      </w:r>
      <w:r w:rsidRPr="00874348">
        <w:rPr>
          <w:rFonts w:eastAsia="Times New Roman"/>
          <w:lang w:val="fr-FR"/>
        </w:rPr>
        <w:fldChar w:fldCharType="end"/>
      </w:r>
      <w:r w:rsidRPr="00874348">
        <w:rPr>
          <w:rFonts w:eastAsia="Times New Roman"/>
          <w:lang w:val="fr-FR"/>
        </w:rPr>
        <w:t>.  </w:t>
      </w:r>
      <w:r w:rsidRPr="00874348">
        <w:rPr>
          <w:rFonts w:eastAsia="Times New Roman"/>
          <w:szCs w:val="24"/>
          <w:lang w:val="fr-FR"/>
        </w:rPr>
        <w:t>La</w:t>
      </w:r>
      <w:r w:rsidRPr="00874348">
        <w:rPr>
          <w:rFonts w:eastAsia="Times New Roman"/>
          <w:lang w:val="fr-FR"/>
        </w:rPr>
        <w:t xml:space="preserve"> Cour estime que ces exigences ne sont pas remplies en l</w:t>
      </w:r>
      <w:r w:rsidR="00874348" w:rsidRPr="00874348">
        <w:rPr>
          <w:rFonts w:eastAsia="Times New Roman"/>
          <w:lang w:val="fr-FR"/>
        </w:rPr>
        <w:t>’</w:t>
      </w:r>
      <w:r w:rsidRPr="00874348">
        <w:rPr>
          <w:rFonts w:eastAsia="Times New Roman"/>
          <w:lang w:val="fr-FR"/>
        </w:rPr>
        <w:t>espèce concernant les requêtes n</w:t>
      </w:r>
      <w:r w:rsidRPr="00874348">
        <w:rPr>
          <w:rFonts w:eastAsia="Times New Roman"/>
          <w:vertAlign w:val="superscript"/>
          <w:lang w:val="fr-FR"/>
        </w:rPr>
        <w:t>os</w:t>
      </w:r>
      <w:r w:rsidRPr="00874348">
        <w:rPr>
          <w:rFonts w:eastAsia="Times New Roman"/>
          <w:lang w:val="fr-FR"/>
        </w:rPr>
        <w:t xml:space="preserve"> 16178/13 et 23130/13. Toutefois, pour les raisons exposées au paragraphe 206 ci-dessus, elle estime raisonnable d</w:t>
      </w:r>
      <w:r w:rsidR="00874348" w:rsidRPr="00874348">
        <w:rPr>
          <w:rFonts w:eastAsia="Times New Roman"/>
          <w:lang w:val="fr-FR"/>
        </w:rPr>
        <w:t>’</w:t>
      </w:r>
      <w:r w:rsidRPr="00874348">
        <w:rPr>
          <w:rFonts w:eastAsia="Times New Roman"/>
          <w:lang w:val="fr-FR"/>
        </w:rPr>
        <w:t>octroyer à chacun des requérants concernés la somme de 200 EUR pour les frais encourus devant la Cour. En ce qui concerne les requêtes n</w:t>
      </w:r>
      <w:r w:rsidRPr="00874348">
        <w:rPr>
          <w:rFonts w:eastAsia="Times New Roman"/>
          <w:vertAlign w:val="superscript"/>
          <w:lang w:val="fr-FR"/>
        </w:rPr>
        <w:t>os</w:t>
      </w:r>
      <w:r w:rsidRPr="00874348">
        <w:rPr>
          <w:rFonts w:eastAsia="Times New Roman"/>
          <w:lang w:val="fr-FR"/>
        </w:rPr>
        <w:t xml:space="preserve"> 7 à 15, dans lesquelles les requérants sont représentés par M</w:t>
      </w:r>
      <w:r w:rsidRPr="00874348">
        <w:rPr>
          <w:rFonts w:eastAsia="Times New Roman"/>
          <w:vertAlign w:val="superscript"/>
          <w:lang w:val="fr-FR"/>
        </w:rPr>
        <w:t>es</w:t>
      </w:r>
      <w:r w:rsidRPr="00874348">
        <w:rPr>
          <w:rFonts w:eastAsia="Times New Roman"/>
          <w:lang w:val="fr-FR"/>
        </w:rPr>
        <w:t xml:space="preserve"> Scolamiero et Guadagni, la Cour alloue aux requérants conjointement 17 455 EUR, tel que demandé par ceux-ci.</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211</w:t>
      </w:r>
      <w:r w:rsidRPr="00874348">
        <w:rPr>
          <w:rFonts w:eastAsia="Times New Roman"/>
          <w:lang w:val="fr-FR"/>
        </w:rPr>
        <w:fldChar w:fldCharType="end"/>
      </w:r>
      <w:r w:rsidRPr="00874348">
        <w:rPr>
          <w:rFonts w:eastAsia="Times New Roman"/>
          <w:lang w:val="fr-FR"/>
        </w:rPr>
        <w:t>.  Il en va de même concernant les frais des procédures entamées devant les instances internes. Dès lors, la Cour juge raisonnable d</w:t>
      </w:r>
      <w:r w:rsidR="00874348" w:rsidRPr="00874348">
        <w:rPr>
          <w:rFonts w:eastAsia="Times New Roman"/>
          <w:lang w:val="fr-FR"/>
        </w:rPr>
        <w:t>’</w:t>
      </w:r>
      <w:r w:rsidRPr="00874348">
        <w:rPr>
          <w:rFonts w:eastAsia="Times New Roman"/>
          <w:lang w:val="fr-FR"/>
        </w:rPr>
        <w:t>octroyer à chaque requérant des requêtes indiquées aux n</w:t>
      </w:r>
      <w:r w:rsidRPr="00874348">
        <w:rPr>
          <w:rFonts w:eastAsia="Times New Roman"/>
          <w:vertAlign w:val="superscript"/>
          <w:lang w:val="fr-FR"/>
        </w:rPr>
        <w:t>os</w:t>
      </w:r>
      <w:r w:rsidRPr="00874348">
        <w:rPr>
          <w:rFonts w:eastAsia="Times New Roman"/>
          <w:lang w:val="fr-FR"/>
        </w:rPr>
        <w:t xml:space="preserve"> 1 à 3 la somme de 2 000 EUR ou celle demandée par les requérants, lorsqu</w:t>
      </w:r>
      <w:r w:rsidR="00874348" w:rsidRPr="00874348">
        <w:rPr>
          <w:rFonts w:eastAsia="Times New Roman"/>
          <w:lang w:val="fr-FR"/>
        </w:rPr>
        <w:t>’</w:t>
      </w:r>
      <w:r w:rsidRPr="00874348">
        <w:rPr>
          <w:rFonts w:eastAsia="Times New Roman"/>
          <w:lang w:val="fr-FR"/>
        </w:rPr>
        <w:t xml:space="preserve">inférieure à cette dernière (quant à ces derniers chiffres, elle renvoie au tableau en annexe). La Cour accorde aux requérants les montants ainsi fixés. </w:t>
      </w:r>
      <w:r w:rsidRPr="00874348">
        <w:rPr>
          <w:rFonts w:eastAsia="Times New Roman"/>
          <w:lang w:val="fr-FR" w:eastAsia="en-GB"/>
        </w:rPr>
        <w:t>Ces dernières sommes seront allouées conjointement aux requérants ayant introduit leur requête en tant qu</w:t>
      </w:r>
      <w:r w:rsidR="00874348" w:rsidRPr="00874348">
        <w:rPr>
          <w:rFonts w:eastAsia="Times New Roman"/>
          <w:lang w:val="fr-FR" w:eastAsia="en-GB"/>
        </w:rPr>
        <w:t>’</w:t>
      </w:r>
      <w:r w:rsidRPr="00874348">
        <w:rPr>
          <w:rFonts w:eastAsia="Times New Roman"/>
          <w:lang w:val="fr-FR" w:eastAsia="en-GB"/>
        </w:rPr>
        <w:t>héritiers d</w:t>
      </w:r>
      <w:r w:rsidR="00874348" w:rsidRPr="00874348">
        <w:rPr>
          <w:rFonts w:eastAsia="Times New Roman"/>
          <w:lang w:val="fr-FR" w:eastAsia="en-GB"/>
        </w:rPr>
        <w:t>’</w:t>
      </w:r>
      <w:r w:rsidRPr="00874348">
        <w:rPr>
          <w:rFonts w:eastAsia="Times New Roman"/>
          <w:lang w:val="fr-FR" w:eastAsia="en-GB"/>
        </w:rPr>
        <w:t>une personne infectée.</w:t>
      </w:r>
    </w:p>
    <w:p w:rsidR="00506071" w:rsidRPr="00874348" w:rsidRDefault="00506071" w:rsidP="00874348">
      <w:pPr>
        <w:pStyle w:val="ECHRHeading2"/>
        <w:rPr>
          <w:rFonts w:eastAsia="Times New Roman"/>
          <w:lang w:val="fr-FR"/>
        </w:rPr>
      </w:pPr>
      <w:r w:rsidRPr="00874348">
        <w:rPr>
          <w:rFonts w:eastAsia="Times New Roman"/>
          <w:lang w:val="fr-FR"/>
        </w:rPr>
        <w:t>C.  Intérêts moratoires</w:t>
      </w:r>
    </w:p>
    <w:p w:rsidR="00506071" w:rsidRPr="00874348" w:rsidRDefault="00506071" w:rsidP="00874348">
      <w:pPr>
        <w:pStyle w:val="ECHRPara"/>
        <w:rPr>
          <w:rFonts w:eastAsia="Times New Roman"/>
          <w:lang w:val="fr-FR"/>
        </w:rPr>
      </w:pPr>
      <w:r w:rsidRPr="00874348">
        <w:rPr>
          <w:rFonts w:eastAsia="Times New Roman"/>
          <w:lang w:val="fr-FR"/>
        </w:rPr>
        <w:fldChar w:fldCharType="begin"/>
      </w:r>
      <w:r w:rsidRPr="00874348">
        <w:rPr>
          <w:rFonts w:eastAsia="Times New Roman"/>
          <w:lang w:val="fr-FR"/>
        </w:rPr>
        <w:instrText xml:space="preserve"> SEQ level0 \*arabic </w:instrText>
      </w:r>
      <w:r w:rsidRPr="00874348">
        <w:rPr>
          <w:rFonts w:eastAsia="Times New Roman"/>
          <w:lang w:val="fr-FR"/>
        </w:rPr>
        <w:fldChar w:fldCharType="separate"/>
      </w:r>
      <w:r w:rsidR="00874348" w:rsidRPr="00874348">
        <w:rPr>
          <w:rFonts w:eastAsia="Times New Roman"/>
          <w:noProof/>
          <w:lang w:val="fr-FR"/>
        </w:rPr>
        <w:t>212</w:t>
      </w:r>
      <w:r w:rsidRPr="00874348">
        <w:rPr>
          <w:rFonts w:eastAsia="Times New Roman"/>
          <w:lang w:val="fr-FR"/>
        </w:rPr>
        <w:fldChar w:fldCharType="end"/>
      </w:r>
      <w:r w:rsidRPr="00874348">
        <w:rPr>
          <w:rFonts w:eastAsia="Times New Roman"/>
          <w:lang w:val="fr-FR"/>
        </w:rPr>
        <w:t>.  La Cour juge approprié de calquer le taux des intérêts moratoires sur le taux d</w:t>
      </w:r>
      <w:r w:rsidR="00874348" w:rsidRPr="00874348">
        <w:rPr>
          <w:rFonts w:eastAsia="Times New Roman"/>
          <w:lang w:val="fr-FR"/>
        </w:rPr>
        <w:t>’</w:t>
      </w:r>
      <w:r w:rsidRPr="00874348">
        <w:rPr>
          <w:rFonts w:eastAsia="Times New Roman"/>
          <w:lang w:val="fr-FR"/>
        </w:rPr>
        <w:t>intérêt de la facilité de prêt marginal de la Banque centrale européenne majoré de trois points de pourcentage.</w:t>
      </w:r>
    </w:p>
    <w:p w:rsidR="00506071" w:rsidRPr="00874348" w:rsidRDefault="00506071" w:rsidP="00874348">
      <w:pPr>
        <w:pStyle w:val="ECHRTitle1"/>
        <w:rPr>
          <w:rFonts w:eastAsia="Times New Roman"/>
          <w:lang w:val="fr-FR"/>
        </w:rPr>
      </w:pPr>
      <w:r w:rsidRPr="00874348">
        <w:rPr>
          <w:rFonts w:eastAsia="Times New Roman"/>
          <w:lang w:val="fr-FR"/>
        </w:rPr>
        <w:lastRenderedPageBreak/>
        <w:t>PAR CES MOTIFS, LA COUR, À L</w:t>
      </w:r>
      <w:r w:rsidR="00874348" w:rsidRPr="00874348">
        <w:rPr>
          <w:rFonts w:eastAsia="Times New Roman"/>
          <w:lang w:val="fr-FR"/>
        </w:rPr>
        <w:t>’</w:t>
      </w:r>
      <w:r w:rsidRPr="00874348">
        <w:rPr>
          <w:rFonts w:eastAsia="Times New Roman"/>
          <w:lang w:val="fr-FR"/>
        </w:rPr>
        <w:t>UNANIMITÉ,</w:t>
      </w:r>
    </w:p>
    <w:p w:rsidR="00506071" w:rsidRPr="00874348" w:rsidRDefault="00506071" w:rsidP="00874348">
      <w:pPr>
        <w:pStyle w:val="JuList"/>
        <w:rPr>
          <w:rFonts w:eastAsia="Times New Roman"/>
          <w:lang w:val="fr-FR"/>
        </w:rPr>
      </w:pPr>
      <w:r w:rsidRPr="00874348">
        <w:rPr>
          <w:rFonts w:eastAsia="Times New Roman"/>
          <w:lang w:val="fr-FR"/>
        </w:rPr>
        <w:t>1.  </w:t>
      </w:r>
      <w:r w:rsidRPr="00874348">
        <w:rPr>
          <w:rFonts w:eastAsia="Times New Roman"/>
          <w:i/>
          <w:lang w:val="fr-FR"/>
        </w:rPr>
        <w:t>Décide</w:t>
      </w:r>
      <w:r w:rsidRPr="00874348">
        <w:rPr>
          <w:rFonts w:eastAsia="Times New Roman"/>
          <w:lang w:val="fr-FR"/>
        </w:rPr>
        <w:t xml:space="preserve"> de joindre les requêtes ;</w:t>
      </w:r>
    </w:p>
    <w:p w:rsidR="00506071" w:rsidRPr="00874348" w:rsidRDefault="00506071" w:rsidP="00874348">
      <w:pPr>
        <w:pStyle w:val="JuList"/>
        <w:rPr>
          <w:rFonts w:eastAsia="Times New Roman"/>
          <w:lang w:val="fr-FR"/>
        </w:rPr>
      </w:pPr>
    </w:p>
    <w:p w:rsidR="00506071" w:rsidRPr="00874348" w:rsidRDefault="00506071" w:rsidP="00874348">
      <w:pPr>
        <w:pStyle w:val="JuList"/>
        <w:rPr>
          <w:rFonts w:eastAsia="Times New Roman"/>
          <w:lang w:val="fr-FR"/>
        </w:rPr>
      </w:pPr>
      <w:r w:rsidRPr="00874348">
        <w:rPr>
          <w:rFonts w:eastAsia="Times New Roman"/>
          <w:lang w:val="fr-FR"/>
        </w:rPr>
        <w:t>2.  </w:t>
      </w:r>
      <w:r w:rsidRPr="00874348">
        <w:rPr>
          <w:rFonts w:eastAsia="Times New Roman"/>
          <w:i/>
          <w:lang w:val="fr-FR"/>
        </w:rPr>
        <w:t xml:space="preserve">Décide </w:t>
      </w:r>
      <w:r w:rsidRPr="00874348">
        <w:rPr>
          <w:rFonts w:eastAsia="Times New Roman"/>
          <w:lang w:val="fr-FR"/>
        </w:rPr>
        <w:t>de rayer du rôle, au sens de l</w:t>
      </w:r>
      <w:r w:rsidR="00874348" w:rsidRPr="00874348">
        <w:rPr>
          <w:rFonts w:eastAsia="Times New Roman"/>
          <w:lang w:val="fr-FR"/>
        </w:rPr>
        <w:t>’</w:t>
      </w:r>
      <w:r w:rsidRPr="00874348">
        <w:rPr>
          <w:rFonts w:eastAsia="Times New Roman"/>
          <w:lang w:val="fr-FR"/>
        </w:rPr>
        <w:t>article 37 § 1 a) de la Convention, les requêtes introduites par les requérants indiqués :</w:t>
      </w:r>
    </w:p>
    <w:p w:rsidR="00506071" w:rsidRPr="00874348" w:rsidRDefault="00506071" w:rsidP="00874348">
      <w:pPr>
        <w:pStyle w:val="JuList"/>
        <w:ind w:hanging="56"/>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au n</w:t>
      </w:r>
      <w:r w:rsidRPr="00874348">
        <w:rPr>
          <w:rFonts w:eastAsia="Times New Roman"/>
          <w:vertAlign w:val="superscript"/>
          <w:lang w:val="fr-FR"/>
        </w:rPr>
        <w:t>o</w:t>
      </w:r>
      <w:r w:rsidRPr="00874348">
        <w:rPr>
          <w:rFonts w:eastAsia="Times New Roman"/>
          <w:lang w:val="fr-FR"/>
        </w:rPr>
        <w:t xml:space="preserve"> 4 de la requête n</w:t>
      </w:r>
      <w:r w:rsidRPr="00874348">
        <w:rPr>
          <w:rFonts w:eastAsia="Times New Roman"/>
          <w:vertAlign w:val="superscript"/>
          <w:lang w:val="fr-FR"/>
        </w:rPr>
        <w:t>o</w:t>
      </w:r>
      <w:r w:rsidRPr="00874348">
        <w:rPr>
          <w:rFonts w:eastAsia="Times New Roman"/>
          <w:lang w:val="fr-FR"/>
        </w:rPr>
        <w:t xml:space="preserve"> 22918/13, au n</w:t>
      </w:r>
      <w:r w:rsidRPr="00874348">
        <w:rPr>
          <w:rFonts w:eastAsia="Times New Roman"/>
          <w:vertAlign w:val="superscript"/>
          <w:lang w:val="fr-FR"/>
        </w:rPr>
        <w:t>o</w:t>
      </w:r>
      <w:r w:rsidRPr="00874348">
        <w:rPr>
          <w:rFonts w:eastAsia="Times New Roman"/>
          <w:lang w:val="fr-FR"/>
        </w:rPr>
        <w:t xml:space="preserve"> 2 de la requête n</w:t>
      </w:r>
      <w:r w:rsidRPr="00874348">
        <w:rPr>
          <w:rFonts w:eastAsia="Times New Roman"/>
          <w:vertAlign w:val="superscript"/>
          <w:lang w:val="fr-FR"/>
        </w:rPr>
        <w:t>o</w:t>
      </w:r>
      <w:r w:rsidRPr="00874348">
        <w:rPr>
          <w:rFonts w:eastAsia="Times New Roman"/>
          <w:lang w:val="fr-FR"/>
        </w:rPr>
        <w:t xml:space="preserve"> 22933/13, au n</w:t>
      </w:r>
      <w:r w:rsidRPr="00874348">
        <w:rPr>
          <w:rFonts w:eastAsia="Times New Roman"/>
          <w:vertAlign w:val="superscript"/>
          <w:lang w:val="fr-FR"/>
        </w:rPr>
        <w:t>o</w:t>
      </w:r>
      <w:r w:rsidRPr="00874348">
        <w:rPr>
          <w:rFonts w:eastAsia="Times New Roman"/>
          <w:lang w:val="fr-FR"/>
        </w:rPr>
        <w:t> 2 de la requête n</w:t>
      </w:r>
      <w:r w:rsidRPr="00874348">
        <w:rPr>
          <w:rFonts w:eastAsia="Times New Roman"/>
          <w:vertAlign w:val="superscript"/>
          <w:lang w:val="fr-FR"/>
        </w:rPr>
        <w:t>o</w:t>
      </w:r>
      <w:r w:rsidRPr="00874348">
        <w:rPr>
          <w:rFonts w:eastAsia="Times New Roman"/>
          <w:lang w:val="fr-FR"/>
        </w:rPr>
        <w:t xml:space="preserve"> 22899/13 et au n</w:t>
      </w:r>
      <w:r w:rsidRPr="00874348">
        <w:rPr>
          <w:rFonts w:eastAsia="Times New Roman"/>
          <w:vertAlign w:val="superscript"/>
          <w:lang w:val="fr-FR"/>
        </w:rPr>
        <w:t>o</w:t>
      </w:r>
      <w:r w:rsidRPr="00874348">
        <w:rPr>
          <w:rFonts w:eastAsia="Times New Roman"/>
          <w:lang w:val="fr-FR"/>
        </w:rPr>
        <w:t xml:space="preserve"> 4 de la requête n</w:t>
      </w:r>
      <w:r w:rsidRPr="00874348">
        <w:rPr>
          <w:rFonts w:eastAsia="Times New Roman"/>
          <w:vertAlign w:val="superscript"/>
          <w:lang w:val="fr-FR"/>
        </w:rPr>
        <w:t>o</w:t>
      </w:r>
      <w:r w:rsidRPr="00874348">
        <w:rPr>
          <w:rFonts w:eastAsia="Times New Roman"/>
          <w:lang w:val="fr-FR"/>
        </w:rPr>
        <w:t xml:space="preserve"> 13657/13 ;</w:t>
      </w:r>
    </w:p>
    <w:p w:rsidR="00506071" w:rsidRPr="00874348" w:rsidRDefault="00506071" w:rsidP="00874348">
      <w:pPr>
        <w:pStyle w:val="JuList"/>
        <w:ind w:hanging="56"/>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 xml:space="preserve">aux </w:t>
      </w:r>
      <w:r w:rsidRPr="00874348">
        <w:rPr>
          <w:rFonts w:eastAsia="Times New Roman" w:cs="Calibri"/>
          <w:lang w:val="fr-FR"/>
        </w:rPr>
        <w:t>n</w:t>
      </w:r>
      <w:r w:rsidRPr="00874348">
        <w:rPr>
          <w:rFonts w:eastAsia="Times New Roman" w:cs="Calibri"/>
          <w:vertAlign w:val="superscript"/>
          <w:lang w:val="fr-FR"/>
        </w:rPr>
        <w:t>os</w:t>
      </w:r>
      <w:r w:rsidRPr="00874348">
        <w:rPr>
          <w:rFonts w:eastAsia="Times New Roman" w:cs="Calibri"/>
          <w:lang w:val="fr-FR"/>
        </w:rPr>
        <w:t xml:space="preserve"> 14, 15, 19, 34, 46, 49, 50, 51, 64 et 65 de la requête </w:t>
      </w:r>
      <w:r w:rsidRPr="00874348">
        <w:rPr>
          <w:rFonts w:eastAsia="Times New Roman"/>
          <w:lang w:val="fr-FR"/>
        </w:rPr>
        <w:t>n</w:t>
      </w:r>
      <w:r w:rsidRPr="00874348">
        <w:rPr>
          <w:rFonts w:eastAsia="Times New Roman"/>
          <w:vertAlign w:val="superscript"/>
          <w:lang w:val="fr-FR"/>
        </w:rPr>
        <w:t>o </w:t>
      </w:r>
      <w:r w:rsidRPr="00874348">
        <w:rPr>
          <w:rFonts w:eastAsia="Times New Roman"/>
          <w:lang w:val="fr-FR"/>
        </w:rPr>
        <w:t>16178/13, au n</w:t>
      </w:r>
      <w:r w:rsidRPr="00874348">
        <w:rPr>
          <w:rFonts w:eastAsia="Times New Roman"/>
          <w:vertAlign w:val="superscript"/>
          <w:lang w:val="fr-FR"/>
        </w:rPr>
        <w:t>o </w:t>
      </w:r>
      <w:r w:rsidRPr="00874348">
        <w:rPr>
          <w:rFonts w:eastAsia="Times New Roman"/>
          <w:lang w:val="fr-FR"/>
        </w:rPr>
        <w:t>20 de la requête n</w:t>
      </w:r>
      <w:r w:rsidRPr="00874348">
        <w:rPr>
          <w:rFonts w:eastAsia="Times New Roman"/>
          <w:vertAlign w:val="superscript"/>
          <w:lang w:val="fr-FR"/>
        </w:rPr>
        <w:t>o</w:t>
      </w:r>
      <w:r w:rsidRPr="00874348">
        <w:rPr>
          <w:rFonts w:eastAsia="Times New Roman"/>
          <w:lang w:val="fr-FR"/>
        </w:rPr>
        <w:t xml:space="preserve"> 64572/13, aux numéros 1, 2, 8, 21, 26, 30, 31, 33, 42, 43, 48, 53 et 77 concernant la requête n</w:t>
      </w:r>
      <w:r w:rsidRPr="00874348">
        <w:rPr>
          <w:rFonts w:eastAsia="Times New Roman"/>
          <w:vertAlign w:val="superscript"/>
          <w:lang w:val="fr-FR"/>
        </w:rPr>
        <w:t>o</w:t>
      </w:r>
      <w:r w:rsidRPr="00874348">
        <w:rPr>
          <w:rFonts w:eastAsia="Times New Roman"/>
          <w:lang w:val="fr-FR"/>
        </w:rPr>
        <w:t xml:space="preserve"> 158/12 ainsi qu</w:t>
      </w:r>
      <w:r w:rsidR="00874348" w:rsidRPr="00874348">
        <w:rPr>
          <w:rFonts w:eastAsia="Times New Roman"/>
          <w:lang w:val="fr-FR"/>
        </w:rPr>
        <w:t>’</w:t>
      </w:r>
      <w:r w:rsidRPr="00874348">
        <w:rPr>
          <w:rFonts w:eastAsia="Times New Roman"/>
          <w:lang w:val="fr-FR"/>
        </w:rPr>
        <w:t>aux n</w:t>
      </w:r>
      <w:r w:rsidRPr="00874348">
        <w:rPr>
          <w:rFonts w:eastAsia="Times New Roman" w:cs="Calibri"/>
          <w:vertAlign w:val="superscript"/>
          <w:lang w:val="fr-FR"/>
        </w:rPr>
        <w:t>os</w:t>
      </w:r>
      <w:r w:rsidRPr="00874348">
        <w:rPr>
          <w:rFonts w:eastAsia="Times New Roman"/>
          <w:lang w:val="fr-FR"/>
        </w:rPr>
        <w:t xml:space="preserve"> 9, 34, 35, 36, 59, 73, 86, 91, 92, 93, 94, 114, 115, 116, 117, 118, 215, 248, 254, 255 et 260 quant à la requête n</w:t>
      </w:r>
      <w:r w:rsidRPr="00874348">
        <w:rPr>
          <w:rFonts w:eastAsia="Times New Roman"/>
          <w:vertAlign w:val="superscript"/>
          <w:lang w:val="fr-FR"/>
        </w:rPr>
        <w:t>o</w:t>
      </w:r>
      <w:r w:rsidRPr="00874348">
        <w:rPr>
          <w:rFonts w:eastAsia="Times New Roman"/>
          <w:lang w:val="fr-FR"/>
        </w:rPr>
        <w:t> 8154/12.</w:t>
      </w:r>
    </w:p>
    <w:p w:rsidR="00506071" w:rsidRPr="00874348" w:rsidRDefault="00506071" w:rsidP="00874348">
      <w:pPr>
        <w:pStyle w:val="JuList"/>
        <w:ind w:hanging="56"/>
        <w:rPr>
          <w:rFonts w:eastAsia="Times New Roman"/>
          <w:lang w:val="fr-FR"/>
        </w:rPr>
      </w:pPr>
    </w:p>
    <w:p w:rsidR="00506071" w:rsidRPr="00874348" w:rsidRDefault="00506071" w:rsidP="00874348">
      <w:pPr>
        <w:pStyle w:val="JuList"/>
        <w:rPr>
          <w:rFonts w:eastAsia="Times New Roman"/>
          <w:lang w:val="fr-FR"/>
        </w:rPr>
      </w:pPr>
      <w:r w:rsidRPr="00874348">
        <w:rPr>
          <w:rFonts w:eastAsia="Times New Roman"/>
          <w:lang w:val="fr-FR"/>
        </w:rPr>
        <w:t>3.  </w:t>
      </w:r>
      <w:r w:rsidRPr="00874348">
        <w:rPr>
          <w:rFonts w:eastAsia="Times New Roman"/>
          <w:i/>
          <w:lang w:val="fr-FR"/>
        </w:rPr>
        <w:t xml:space="preserve">Décide </w:t>
      </w:r>
      <w:r w:rsidRPr="00874348">
        <w:rPr>
          <w:rFonts w:eastAsia="Times New Roman"/>
          <w:lang w:val="fr-FR"/>
        </w:rPr>
        <w:t>de rayer du rôle, au sens de l</w:t>
      </w:r>
      <w:r w:rsidR="00874348" w:rsidRPr="00874348">
        <w:rPr>
          <w:rFonts w:eastAsia="Times New Roman"/>
          <w:lang w:val="fr-FR"/>
        </w:rPr>
        <w:t>’</w:t>
      </w:r>
      <w:r w:rsidRPr="00874348">
        <w:rPr>
          <w:rFonts w:eastAsia="Times New Roman"/>
          <w:lang w:val="fr-FR"/>
        </w:rPr>
        <w:t>article 37 § 1 c) de la Convention, la requête introduite par le requérant dont le nom est indiqué au n</w:t>
      </w:r>
      <w:r w:rsidRPr="00874348">
        <w:rPr>
          <w:rFonts w:eastAsia="Times New Roman"/>
          <w:vertAlign w:val="superscript"/>
          <w:lang w:val="fr-FR"/>
        </w:rPr>
        <w:t>o</w:t>
      </w:r>
      <w:r w:rsidRPr="00874348">
        <w:rPr>
          <w:rFonts w:eastAsia="Times New Roman"/>
          <w:lang w:val="fr-FR"/>
        </w:rPr>
        <w:t xml:space="preserve"> 32 (requête n</w:t>
      </w:r>
      <w:r w:rsidRPr="00874348">
        <w:rPr>
          <w:rFonts w:eastAsia="Times New Roman"/>
          <w:vertAlign w:val="superscript"/>
          <w:lang w:val="fr-FR"/>
        </w:rPr>
        <w:t>o</w:t>
      </w:r>
      <w:r w:rsidRPr="00874348">
        <w:rPr>
          <w:rFonts w:eastAsia="Times New Roman"/>
          <w:lang w:val="fr-FR"/>
        </w:rPr>
        <w:t xml:space="preserve"> 158/12) ;</w:t>
      </w:r>
    </w:p>
    <w:p w:rsidR="00506071" w:rsidRPr="00874348" w:rsidRDefault="00506071" w:rsidP="00874348">
      <w:pPr>
        <w:pStyle w:val="JuList"/>
        <w:rPr>
          <w:rFonts w:eastAsia="Times New Roman"/>
          <w:szCs w:val="24"/>
          <w:lang w:val="fr-FR"/>
        </w:rPr>
      </w:pPr>
    </w:p>
    <w:p w:rsidR="00506071" w:rsidRPr="00874348" w:rsidRDefault="00506071" w:rsidP="00874348">
      <w:pPr>
        <w:pStyle w:val="JuList"/>
        <w:rPr>
          <w:rFonts w:eastAsia="Times New Roman"/>
          <w:lang w:val="fr-FR"/>
        </w:rPr>
      </w:pPr>
      <w:r w:rsidRPr="00874348">
        <w:rPr>
          <w:rFonts w:eastAsia="Times New Roman"/>
          <w:szCs w:val="24"/>
          <w:lang w:val="fr-FR"/>
        </w:rPr>
        <w:t>4.  </w:t>
      </w:r>
      <w:r w:rsidRPr="00874348">
        <w:rPr>
          <w:rFonts w:eastAsia="Times New Roman"/>
          <w:i/>
          <w:szCs w:val="24"/>
          <w:lang w:val="fr-FR"/>
        </w:rPr>
        <w:t>Déclare</w:t>
      </w:r>
      <w:r w:rsidRPr="00874348">
        <w:rPr>
          <w:rFonts w:eastAsia="Times New Roman"/>
          <w:szCs w:val="24"/>
          <w:lang w:val="fr-FR"/>
        </w:rPr>
        <w:t xml:space="preserve"> le requête n</w:t>
      </w:r>
      <w:r w:rsidRPr="00874348">
        <w:rPr>
          <w:rFonts w:eastAsia="Times New Roman"/>
          <w:szCs w:val="24"/>
          <w:vertAlign w:val="superscript"/>
          <w:lang w:val="fr-FR"/>
        </w:rPr>
        <w:t>o</w:t>
      </w:r>
      <w:r w:rsidRPr="00874348">
        <w:rPr>
          <w:rFonts w:eastAsia="Times New Roman"/>
          <w:szCs w:val="24"/>
          <w:lang w:val="fr-FR"/>
        </w:rPr>
        <w:t xml:space="preserve"> 8154/12 recevable quant aux requérants indiqués aux n</w:t>
      </w:r>
      <w:r w:rsidRPr="00874348">
        <w:rPr>
          <w:rFonts w:eastAsia="Times New Roman"/>
          <w:szCs w:val="24"/>
          <w:vertAlign w:val="superscript"/>
          <w:lang w:val="fr-FR"/>
        </w:rPr>
        <w:t>os</w:t>
      </w:r>
      <w:r w:rsidRPr="00874348">
        <w:rPr>
          <w:rFonts w:eastAsia="Times New Roman"/>
          <w:szCs w:val="24"/>
          <w:lang w:val="fr-FR"/>
        </w:rPr>
        <w:t xml:space="preserve"> 50, 57, 200, 226, 227, 231 et 268 dans la liste B en annexe en ce qui concerne les griefs soulevés sous l</w:t>
      </w:r>
      <w:r w:rsidR="00874348" w:rsidRPr="00874348">
        <w:rPr>
          <w:rFonts w:eastAsia="Times New Roman"/>
          <w:szCs w:val="24"/>
          <w:lang w:val="fr-FR"/>
        </w:rPr>
        <w:t>’</w:t>
      </w:r>
      <w:r w:rsidRPr="00874348">
        <w:rPr>
          <w:rFonts w:eastAsia="Times New Roman"/>
          <w:szCs w:val="24"/>
          <w:lang w:val="fr-FR"/>
        </w:rPr>
        <w:t>angle des articles 6 § 1 et 13 de la Convention et 1 du Protocole n</w:t>
      </w:r>
      <w:r w:rsidRPr="00874348">
        <w:rPr>
          <w:rFonts w:eastAsia="Times New Roman"/>
          <w:szCs w:val="24"/>
          <w:vertAlign w:val="superscript"/>
          <w:lang w:val="fr-FR"/>
        </w:rPr>
        <w:t>o</w:t>
      </w:r>
      <w:r w:rsidRPr="00874348">
        <w:rPr>
          <w:rFonts w:eastAsia="Times New Roman"/>
          <w:szCs w:val="24"/>
          <w:lang w:val="fr-FR"/>
        </w:rPr>
        <w:t xml:space="preserve"> 1</w:t>
      </w:r>
      <w:r w:rsidRPr="00874348">
        <w:rPr>
          <w:rFonts w:eastAsia="Times New Roman"/>
          <w:lang w:val="fr-FR"/>
        </w:rPr>
        <w:t xml:space="preserve"> et irrecevable pour le surplus ;</w:t>
      </w:r>
    </w:p>
    <w:p w:rsidR="00506071" w:rsidRPr="00874348" w:rsidRDefault="00506071" w:rsidP="00874348">
      <w:pPr>
        <w:pStyle w:val="JuList"/>
        <w:rPr>
          <w:rFonts w:eastAsia="Times New Roman"/>
          <w:szCs w:val="24"/>
          <w:lang w:val="fr-FR"/>
        </w:rPr>
      </w:pPr>
    </w:p>
    <w:p w:rsidR="00506071" w:rsidRPr="00874348" w:rsidRDefault="00506071" w:rsidP="00874348">
      <w:pPr>
        <w:pStyle w:val="JuList"/>
        <w:rPr>
          <w:rFonts w:eastAsia="Times New Roman"/>
          <w:lang w:val="fr-FR"/>
        </w:rPr>
      </w:pPr>
      <w:r w:rsidRPr="00874348">
        <w:rPr>
          <w:rFonts w:eastAsia="Times New Roman"/>
          <w:lang w:val="fr-FR"/>
        </w:rPr>
        <w:t>5.  </w:t>
      </w:r>
      <w:r w:rsidRPr="00874348">
        <w:rPr>
          <w:rFonts w:eastAsia="Times New Roman"/>
          <w:i/>
          <w:lang w:val="fr-FR"/>
        </w:rPr>
        <w:t>Déclare</w:t>
      </w:r>
      <w:r w:rsidRPr="00874348">
        <w:rPr>
          <w:rFonts w:eastAsia="Times New Roman"/>
          <w:lang w:val="fr-FR"/>
        </w:rPr>
        <w:t xml:space="preserve"> les requêtes indiquées aux n</w:t>
      </w:r>
      <w:r w:rsidRPr="00874348">
        <w:rPr>
          <w:rFonts w:eastAsia="Times New Roman"/>
          <w:vertAlign w:val="superscript"/>
          <w:lang w:val="fr-FR"/>
        </w:rPr>
        <w:t>os </w:t>
      </w:r>
      <w:r w:rsidRPr="00874348">
        <w:rPr>
          <w:rFonts w:eastAsia="Times New Roman"/>
          <w:lang w:val="fr-FR"/>
        </w:rPr>
        <w:t>1 à 15 (à l</w:t>
      </w:r>
      <w:r w:rsidR="00874348" w:rsidRPr="00874348">
        <w:rPr>
          <w:rFonts w:eastAsia="Times New Roman"/>
          <w:lang w:val="fr-FR"/>
        </w:rPr>
        <w:t>’</w:t>
      </w:r>
      <w:r w:rsidRPr="00874348">
        <w:rPr>
          <w:rFonts w:eastAsia="Times New Roman"/>
          <w:lang w:val="fr-FR"/>
        </w:rPr>
        <w:t>exception de la requête n</w:t>
      </w:r>
      <w:r w:rsidRPr="00874348">
        <w:rPr>
          <w:rFonts w:eastAsia="Times New Roman"/>
          <w:vertAlign w:val="superscript"/>
          <w:lang w:val="fr-FR"/>
        </w:rPr>
        <w:t>o</w:t>
      </w:r>
      <w:r w:rsidRPr="00874348">
        <w:rPr>
          <w:rFonts w:eastAsia="Times New Roman"/>
          <w:lang w:val="fr-FR"/>
        </w:rPr>
        <w:t xml:space="preserve"> 64572/13 et de la requête introduite par la requérante indiquée au n</w:t>
      </w:r>
      <w:r w:rsidRPr="00874348">
        <w:rPr>
          <w:rFonts w:eastAsia="Times New Roman"/>
          <w:vertAlign w:val="superscript"/>
          <w:lang w:val="fr-FR"/>
        </w:rPr>
        <w:t>o</w:t>
      </w:r>
      <w:r w:rsidRPr="00874348">
        <w:rPr>
          <w:rFonts w:eastAsia="Times New Roman"/>
          <w:lang w:val="fr-FR"/>
        </w:rPr>
        <w:t xml:space="preserve"> 14 de la requête n</w:t>
      </w:r>
      <w:r w:rsidRPr="00874348">
        <w:rPr>
          <w:rFonts w:eastAsia="Times New Roman"/>
          <w:vertAlign w:val="superscript"/>
          <w:lang w:val="fr-FR"/>
        </w:rPr>
        <w:t>o</w:t>
      </w:r>
      <w:r w:rsidRPr="00874348">
        <w:rPr>
          <w:rFonts w:eastAsia="Times New Roman"/>
          <w:lang w:val="fr-FR"/>
        </w:rPr>
        <w:t xml:space="preserve"> 68060/12) recevables en ce qui concerne le grief tiré de l</w:t>
      </w:r>
      <w:r w:rsidR="00874348" w:rsidRPr="00874348">
        <w:rPr>
          <w:rFonts w:eastAsia="Times New Roman"/>
          <w:lang w:val="fr-FR"/>
        </w:rPr>
        <w:t>’</w:t>
      </w:r>
      <w:r w:rsidRPr="00874348">
        <w:rPr>
          <w:rFonts w:eastAsia="Times New Roman"/>
          <w:lang w:val="fr-FR"/>
        </w:rPr>
        <w:t>article 2, volet procédural, concernant la durée des procédures en dédommagement et irrecevables pour le surplus ;</w:t>
      </w:r>
    </w:p>
    <w:p w:rsidR="00506071" w:rsidRPr="00874348" w:rsidRDefault="00506071" w:rsidP="00874348">
      <w:pPr>
        <w:pStyle w:val="JuList"/>
        <w:rPr>
          <w:rFonts w:eastAsia="Times New Roman"/>
          <w:szCs w:val="24"/>
          <w:lang w:val="fr-FR"/>
        </w:rPr>
      </w:pPr>
    </w:p>
    <w:p w:rsidR="00506071" w:rsidRPr="00874348" w:rsidRDefault="00506071" w:rsidP="00874348">
      <w:pPr>
        <w:pStyle w:val="JuList"/>
        <w:rPr>
          <w:rFonts w:eastAsia="Times New Roman"/>
          <w:lang w:val="fr-FR"/>
        </w:rPr>
      </w:pPr>
      <w:r w:rsidRPr="00874348">
        <w:rPr>
          <w:rFonts w:eastAsia="Times New Roman"/>
          <w:lang w:val="fr-FR"/>
        </w:rPr>
        <w:t>6.  </w:t>
      </w:r>
      <w:r w:rsidRPr="00874348">
        <w:rPr>
          <w:rFonts w:eastAsia="Times New Roman"/>
          <w:i/>
          <w:lang w:val="fr-FR"/>
        </w:rPr>
        <w:t>Déclare</w:t>
      </w:r>
      <w:r w:rsidRPr="00874348">
        <w:rPr>
          <w:rFonts w:eastAsia="Times New Roman"/>
          <w:lang w:val="fr-FR"/>
        </w:rPr>
        <w:t xml:space="preserve"> le restant des requêtes irrecevables ;</w:t>
      </w:r>
    </w:p>
    <w:p w:rsidR="00506071" w:rsidRPr="00874348" w:rsidRDefault="00506071" w:rsidP="00874348">
      <w:pPr>
        <w:pStyle w:val="JuList"/>
        <w:rPr>
          <w:rFonts w:eastAsia="Times New Roman"/>
          <w:lang w:val="fr-FR"/>
        </w:rPr>
      </w:pPr>
    </w:p>
    <w:p w:rsidR="00506071" w:rsidRPr="00874348" w:rsidRDefault="00506071" w:rsidP="00874348">
      <w:pPr>
        <w:pStyle w:val="JuList"/>
        <w:rPr>
          <w:rFonts w:eastAsia="Times New Roman"/>
          <w:lang w:val="fr-FR"/>
        </w:rPr>
      </w:pPr>
      <w:r w:rsidRPr="00874348">
        <w:rPr>
          <w:rFonts w:eastAsia="Times New Roman"/>
          <w:lang w:val="fr-FR"/>
        </w:rPr>
        <w:t>7.  </w:t>
      </w:r>
      <w:r w:rsidRPr="00874348">
        <w:rPr>
          <w:rFonts w:eastAsia="Times New Roman"/>
          <w:i/>
          <w:lang w:val="fr-FR"/>
        </w:rPr>
        <w:t>Dit</w:t>
      </w:r>
      <w:r w:rsidRPr="00874348">
        <w:rPr>
          <w:rFonts w:eastAsia="Times New Roman"/>
          <w:lang w:val="fr-FR"/>
        </w:rPr>
        <w:t xml:space="preserve"> qu</w:t>
      </w:r>
      <w:r w:rsidR="00874348" w:rsidRPr="00874348">
        <w:rPr>
          <w:rFonts w:eastAsia="Times New Roman"/>
          <w:lang w:val="fr-FR"/>
        </w:rPr>
        <w:t>’</w:t>
      </w:r>
      <w:r w:rsidRPr="00874348">
        <w:rPr>
          <w:rFonts w:eastAsia="Times New Roman"/>
          <w:lang w:val="fr-FR"/>
        </w:rPr>
        <w:t>il y a eu violation de l</w:t>
      </w:r>
      <w:r w:rsidR="00874348" w:rsidRPr="00874348">
        <w:rPr>
          <w:rFonts w:eastAsia="Times New Roman"/>
          <w:lang w:val="fr-FR"/>
        </w:rPr>
        <w:t>’</w:t>
      </w:r>
      <w:r w:rsidRPr="00874348">
        <w:rPr>
          <w:rFonts w:eastAsia="Times New Roman"/>
          <w:lang w:val="fr-FR"/>
        </w:rPr>
        <w:t>article 6 § 1 de la Convention concernant les requérants indiqués aux n</w:t>
      </w:r>
      <w:r w:rsidRPr="00874348">
        <w:rPr>
          <w:rFonts w:eastAsia="Times New Roman" w:cs="Calibri"/>
          <w:vertAlign w:val="superscript"/>
          <w:lang w:val="fr-FR"/>
        </w:rPr>
        <w:t>os</w:t>
      </w:r>
      <w:r w:rsidRPr="00874348">
        <w:rPr>
          <w:rFonts w:eastAsia="Times New Roman"/>
          <w:lang w:val="fr-FR"/>
        </w:rPr>
        <w:t xml:space="preserve"> </w:t>
      </w:r>
      <w:r w:rsidRPr="00874348">
        <w:rPr>
          <w:rFonts w:eastAsia="Times New Roman"/>
          <w:szCs w:val="24"/>
          <w:lang w:val="fr-FR"/>
        </w:rPr>
        <w:t>50, 57, 200, 226, 227, 231 et 268 dans la liste B en annexe quant à la requête n</w:t>
      </w:r>
      <w:r w:rsidRPr="00874348">
        <w:rPr>
          <w:rFonts w:eastAsia="Times New Roman"/>
          <w:szCs w:val="24"/>
          <w:vertAlign w:val="superscript"/>
          <w:lang w:val="fr-FR"/>
        </w:rPr>
        <w:t>o</w:t>
      </w:r>
      <w:r w:rsidRPr="00874348">
        <w:rPr>
          <w:rFonts w:eastAsia="Times New Roman"/>
          <w:szCs w:val="24"/>
          <w:lang w:val="fr-FR"/>
        </w:rPr>
        <w:t xml:space="preserve"> 8154/12</w:t>
      </w:r>
      <w:r w:rsidRPr="00874348">
        <w:rPr>
          <w:rFonts w:eastAsia="Times New Roman"/>
          <w:lang w:val="fr-FR"/>
        </w:rPr>
        <w:t> ;</w:t>
      </w:r>
    </w:p>
    <w:p w:rsidR="00506071" w:rsidRPr="00874348" w:rsidRDefault="00506071" w:rsidP="00874348">
      <w:pPr>
        <w:pStyle w:val="JuList"/>
        <w:rPr>
          <w:rFonts w:eastAsia="Times New Roman"/>
          <w:lang w:val="fr-FR"/>
        </w:rPr>
      </w:pPr>
    </w:p>
    <w:p w:rsidR="00506071" w:rsidRPr="00874348" w:rsidRDefault="00506071" w:rsidP="00874348">
      <w:pPr>
        <w:pStyle w:val="JuList"/>
        <w:rPr>
          <w:rFonts w:eastAsia="Times New Roman"/>
          <w:lang w:val="fr-FR"/>
        </w:rPr>
      </w:pPr>
      <w:r w:rsidRPr="00874348">
        <w:rPr>
          <w:rFonts w:eastAsia="Times New Roman"/>
          <w:lang w:val="fr-FR"/>
        </w:rPr>
        <w:t>8.  </w:t>
      </w:r>
      <w:r w:rsidRPr="00874348">
        <w:rPr>
          <w:rFonts w:eastAsia="Times New Roman"/>
          <w:i/>
          <w:lang w:val="fr-FR"/>
        </w:rPr>
        <w:t>Dit</w:t>
      </w:r>
      <w:r w:rsidRPr="00874348">
        <w:rPr>
          <w:rFonts w:eastAsia="Times New Roman"/>
          <w:lang w:val="fr-FR"/>
        </w:rPr>
        <w:t xml:space="preserve"> qu</w:t>
      </w:r>
      <w:r w:rsidR="00874348" w:rsidRPr="00874348">
        <w:rPr>
          <w:rFonts w:eastAsia="Times New Roman"/>
          <w:lang w:val="fr-FR"/>
        </w:rPr>
        <w:t>’</w:t>
      </w:r>
      <w:r w:rsidRPr="00874348">
        <w:rPr>
          <w:rFonts w:eastAsia="Times New Roman"/>
          <w:lang w:val="fr-FR"/>
        </w:rPr>
        <w:t>il y a eu violation de l</w:t>
      </w:r>
      <w:r w:rsidR="00874348" w:rsidRPr="00874348">
        <w:rPr>
          <w:rFonts w:eastAsia="Times New Roman"/>
          <w:lang w:val="fr-FR"/>
        </w:rPr>
        <w:t>’</w:t>
      </w:r>
      <w:r w:rsidRPr="00874348">
        <w:rPr>
          <w:rFonts w:eastAsia="Times New Roman"/>
          <w:lang w:val="fr-FR"/>
        </w:rPr>
        <w:t>article 1 du Protocole n</w:t>
      </w:r>
      <w:r w:rsidRPr="00874348">
        <w:rPr>
          <w:rFonts w:eastAsia="Times New Roman"/>
          <w:vertAlign w:val="superscript"/>
          <w:lang w:val="fr-FR"/>
        </w:rPr>
        <w:t>o</w:t>
      </w:r>
      <w:r w:rsidRPr="00874348">
        <w:rPr>
          <w:rFonts w:eastAsia="Times New Roman"/>
          <w:lang w:val="fr-FR"/>
        </w:rPr>
        <w:t xml:space="preserve"> 1 à la Convention concernant les requérants indiqués aux n</w:t>
      </w:r>
      <w:r w:rsidRPr="00874348">
        <w:rPr>
          <w:rFonts w:eastAsia="Times New Roman" w:cs="Calibri"/>
          <w:vertAlign w:val="superscript"/>
          <w:lang w:val="fr-FR"/>
        </w:rPr>
        <w:t>os</w:t>
      </w:r>
      <w:r w:rsidRPr="00874348">
        <w:rPr>
          <w:rFonts w:eastAsia="Times New Roman"/>
          <w:lang w:val="fr-FR"/>
        </w:rPr>
        <w:t xml:space="preserve"> </w:t>
      </w:r>
      <w:r w:rsidRPr="00874348">
        <w:rPr>
          <w:rFonts w:eastAsia="Times New Roman"/>
          <w:szCs w:val="24"/>
          <w:lang w:val="fr-FR"/>
        </w:rPr>
        <w:t>50, 57, 200, 226, 227, 231 et 268 dans la liste B en annexe quant à la requête n</w:t>
      </w:r>
      <w:r w:rsidRPr="00874348">
        <w:rPr>
          <w:rFonts w:eastAsia="Times New Roman"/>
          <w:szCs w:val="24"/>
          <w:vertAlign w:val="superscript"/>
          <w:lang w:val="fr-FR"/>
        </w:rPr>
        <w:t>o</w:t>
      </w:r>
      <w:r w:rsidRPr="00874348">
        <w:rPr>
          <w:rFonts w:eastAsia="Times New Roman"/>
          <w:szCs w:val="24"/>
          <w:lang w:val="fr-FR"/>
        </w:rPr>
        <w:t xml:space="preserve"> 8154/12</w:t>
      </w:r>
      <w:r w:rsidRPr="00874348">
        <w:rPr>
          <w:rFonts w:eastAsia="Times New Roman"/>
          <w:lang w:val="fr-FR"/>
        </w:rPr>
        <w:t> ;</w:t>
      </w:r>
    </w:p>
    <w:p w:rsidR="00506071" w:rsidRPr="00874348" w:rsidRDefault="00506071" w:rsidP="00874348">
      <w:pPr>
        <w:pStyle w:val="JuList"/>
        <w:rPr>
          <w:rFonts w:eastAsia="Times New Roman"/>
          <w:lang w:val="fr-FR"/>
        </w:rPr>
      </w:pPr>
    </w:p>
    <w:p w:rsidR="00506071" w:rsidRPr="00874348" w:rsidRDefault="00506071" w:rsidP="00874348">
      <w:pPr>
        <w:pStyle w:val="JuList"/>
        <w:rPr>
          <w:rFonts w:eastAsia="Times New Roman"/>
          <w:lang w:val="fr-FR"/>
        </w:rPr>
      </w:pPr>
      <w:r w:rsidRPr="00874348">
        <w:rPr>
          <w:rFonts w:eastAsia="Times New Roman"/>
          <w:lang w:val="fr-FR"/>
        </w:rPr>
        <w:t>9.  </w:t>
      </w:r>
      <w:r w:rsidRPr="00874348">
        <w:rPr>
          <w:rFonts w:eastAsia="Times New Roman"/>
          <w:i/>
          <w:lang w:val="fr-FR"/>
        </w:rPr>
        <w:t>Dit</w:t>
      </w:r>
      <w:r w:rsidRPr="00874348">
        <w:rPr>
          <w:rFonts w:eastAsia="Times New Roman"/>
          <w:lang w:val="fr-FR"/>
        </w:rPr>
        <w:t xml:space="preserve"> qu</w:t>
      </w:r>
      <w:r w:rsidR="00874348" w:rsidRPr="00874348">
        <w:rPr>
          <w:rFonts w:eastAsia="Times New Roman"/>
          <w:lang w:val="fr-FR"/>
        </w:rPr>
        <w:t>’</w:t>
      </w:r>
      <w:r w:rsidRPr="00874348">
        <w:rPr>
          <w:rFonts w:eastAsia="Times New Roman"/>
          <w:lang w:val="fr-FR"/>
        </w:rPr>
        <w:t>il y a eu violation de l</w:t>
      </w:r>
      <w:r w:rsidR="00874348" w:rsidRPr="00874348">
        <w:rPr>
          <w:rFonts w:eastAsia="Times New Roman"/>
          <w:lang w:val="fr-FR"/>
        </w:rPr>
        <w:t>’</w:t>
      </w:r>
      <w:r w:rsidRPr="00874348">
        <w:rPr>
          <w:rFonts w:eastAsia="Times New Roman"/>
          <w:lang w:val="fr-FR"/>
        </w:rPr>
        <w:t>article 13 concernant les requérants indiqués aux n</w:t>
      </w:r>
      <w:r w:rsidRPr="00874348">
        <w:rPr>
          <w:rFonts w:eastAsia="Times New Roman" w:cs="Calibri"/>
          <w:vertAlign w:val="superscript"/>
          <w:lang w:val="fr-FR"/>
        </w:rPr>
        <w:t>os</w:t>
      </w:r>
      <w:r w:rsidRPr="00874348">
        <w:rPr>
          <w:rFonts w:eastAsia="Times New Roman"/>
          <w:lang w:val="fr-FR"/>
        </w:rPr>
        <w:t xml:space="preserve"> </w:t>
      </w:r>
      <w:r w:rsidRPr="00874348">
        <w:rPr>
          <w:rFonts w:eastAsia="Times New Roman"/>
          <w:szCs w:val="24"/>
          <w:lang w:val="fr-FR"/>
        </w:rPr>
        <w:t>50, 57, 200, 226, 227, 231 et 268 dans la liste B en annexe quant à la requête n</w:t>
      </w:r>
      <w:r w:rsidRPr="00874348">
        <w:rPr>
          <w:rFonts w:eastAsia="Times New Roman"/>
          <w:szCs w:val="24"/>
          <w:vertAlign w:val="superscript"/>
          <w:lang w:val="fr-FR"/>
        </w:rPr>
        <w:t>o</w:t>
      </w:r>
      <w:r w:rsidRPr="00874348">
        <w:rPr>
          <w:rFonts w:eastAsia="Times New Roman"/>
          <w:szCs w:val="24"/>
          <w:lang w:val="fr-FR"/>
        </w:rPr>
        <w:t xml:space="preserve"> 8154/12</w:t>
      </w:r>
      <w:r w:rsidRPr="00874348">
        <w:rPr>
          <w:rFonts w:eastAsia="Times New Roman"/>
          <w:lang w:val="fr-FR"/>
        </w:rPr>
        <w:t> ;</w:t>
      </w:r>
    </w:p>
    <w:p w:rsidR="00506071" w:rsidRPr="00874348" w:rsidRDefault="00506071" w:rsidP="00874348">
      <w:pPr>
        <w:pStyle w:val="JuList"/>
        <w:rPr>
          <w:rFonts w:eastAsia="Times New Roman"/>
          <w:lang w:val="fr-FR"/>
        </w:rPr>
      </w:pPr>
    </w:p>
    <w:p w:rsidR="00506071" w:rsidRPr="00874348" w:rsidRDefault="00506071" w:rsidP="00874348">
      <w:pPr>
        <w:pStyle w:val="JuList"/>
        <w:rPr>
          <w:rFonts w:eastAsia="Times New Roman"/>
          <w:lang w:val="fr-FR"/>
        </w:rPr>
      </w:pPr>
      <w:r w:rsidRPr="00874348">
        <w:rPr>
          <w:rFonts w:eastAsia="Times New Roman"/>
          <w:lang w:val="fr-FR"/>
        </w:rPr>
        <w:lastRenderedPageBreak/>
        <w:t>10.  </w:t>
      </w:r>
      <w:r w:rsidRPr="00874348">
        <w:rPr>
          <w:rFonts w:eastAsia="Times New Roman"/>
          <w:i/>
          <w:lang w:val="fr-FR"/>
        </w:rPr>
        <w:t>Dit</w:t>
      </w:r>
      <w:r w:rsidRPr="00874348">
        <w:rPr>
          <w:rFonts w:eastAsia="Times New Roman"/>
          <w:lang w:val="fr-FR"/>
        </w:rPr>
        <w:t xml:space="preserve"> qu</w:t>
      </w:r>
      <w:r w:rsidR="00874348" w:rsidRPr="00874348">
        <w:rPr>
          <w:rFonts w:eastAsia="Times New Roman"/>
          <w:lang w:val="fr-FR"/>
        </w:rPr>
        <w:t>’</w:t>
      </w:r>
      <w:r w:rsidRPr="00874348">
        <w:rPr>
          <w:rFonts w:eastAsia="Times New Roman"/>
          <w:lang w:val="fr-FR"/>
        </w:rPr>
        <w:t>il y a eu violation du volet procédural de l</w:t>
      </w:r>
      <w:r w:rsidR="00874348" w:rsidRPr="00874348">
        <w:rPr>
          <w:rFonts w:eastAsia="Times New Roman"/>
          <w:lang w:val="fr-FR"/>
        </w:rPr>
        <w:t>’</w:t>
      </w:r>
      <w:r w:rsidRPr="00874348">
        <w:rPr>
          <w:rFonts w:eastAsia="Times New Roman"/>
          <w:lang w:val="fr-FR"/>
        </w:rPr>
        <w:t>article 2 de la Convention concernant les requêtes indiquées aux n</w:t>
      </w:r>
      <w:r w:rsidRPr="00874348">
        <w:rPr>
          <w:rFonts w:eastAsia="Times New Roman"/>
          <w:vertAlign w:val="superscript"/>
          <w:lang w:val="fr-FR"/>
        </w:rPr>
        <w:t>os </w:t>
      </w:r>
      <w:r w:rsidRPr="00874348">
        <w:rPr>
          <w:rFonts w:eastAsia="Times New Roman"/>
          <w:lang w:val="fr-FR"/>
        </w:rPr>
        <w:t>1 à 15 (à l</w:t>
      </w:r>
      <w:r w:rsidR="00874348" w:rsidRPr="00874348">
        <w:rPr>
          <w:rFonts w:eastAsia="Times New Roman"/>
          <w:lang w:val="fr-FR"/>
        </w:rPr>
        <w:t>’</w:t>
      </w:r>
      <w:r w:rsidRPr="00874348">
        <w:rPr>
          <w:rFonts w:eastAsia="Times New Roman"/>
          <w:lang w:val="fr-FR"/>
        </w:rPr>
        <w:t>exception de la requête n</w:t>
      </w:r>
      <w:r w:rsidRPr="00874348">
        <w:rPr>
          <w:rFonts w:eastAsia="Times New Roman"/>
          <w:vertAlign w:val="superscript"/>
          <w:lang w:val="fr-FR"/>
        </w:rPr>
        <w:t>o</w:t>
      </w:r>
      <w:r w:rsidRPr="00874348">
        <w:rPr>
          <w:rFonts w:eastAsia="Times New Roman"/>
          <w:lang w:val="fr-FR"/>
        </w:rPr>
        <w:t xml:space="preserve"> 64572/13 et de la requête introduite par la requérante indiquée au n</w:t>
      </w:r>
      <w:r w:rsidRPr="00874348">
        <w:rPr>
          <w:rFonts w:eastAsia="Times New Roman"/>
          <w:vertAlign w:val="superscript"/>
          <w:lang w:val="fr-FR"/>
        </w:rPr>
        <w:t>o</w:t>
      </w:r>
      <w:r w:rsidRPr="00874348">
        <w:rPr>
          <w:rFonts w:eastAsia="Times New Roman"/>
          <w:lang w:val="fr-FR"/>
        </w:rPr>
        <w:t xml:space="preserve"> 14 de la requête n</w:t>
      </w:r>
      <w:r w:rsidRPr="00874348">
        <w:rPr>
          <w:rFonts w:eastAsia="Times New Roman"/>
          <w:vertAlign w:val="superscript"/>
          <w:lang w:val="fr-FR"/>
        </w:rPr>
        <w:t>o</w:t>
      </w:r>
      <w:r w:rsidRPr="00874348">
        <w:rPr>
          <w:rFonts w:eastAsia="Times New Roman"/>
          <w:lang w:val="fr-FR"/>
        </w:rPr>
        <w:t> 68060/12) ;</w:t>
      </w:r>
    </w:p>
    <w:p w:rsidR="00506071" w:rsidRPr="00874348" w:rsidRDefault="00506071" w:rsidP="00874348">
      <w:pPr>
        <w:pStyle w:val="JuList"/>
        <w:rPr>
          <w:rFonts w:eastAsia="Times New Roman"/>
          <w:lang w:val="fr-FR"/>
        </w:rPr>
      </w:pPr>
    </w:p>
    <w:p w:rsidR="00D53B1C" w:rsidRPr="00874348" w:rsidRDefault="00506071" w:rsidP="00874348">
      <w:pPr>
        <w:pStyle w:val="JuList"/>
        <w:rPr>
          <w:rFonts w:eastAsia="Times New Roman"/>
          <w:lang w:val="fr-FR"/>
        </w:rPr>
      </w:pPr>
      <w:r w:rsidRPr="00874348">
        <w:rPr>
          <w:rFonts w:eastAsia="Times New Roman"/>
          <w:lang w:val="fr-FR"/>
        </w:rPr>
        <w:t>11.  </w:t>
      </w:r>
      <w:r w:rsidRPr="00874348">
        <w:rPr>
          <w:rFonts w:eastAsia="Times New Roman"/>
          <w:i/>
          <w:lang w:val="fr-FR"/>
        </w:rPr>
        <w:t>Dit</w:t>
      </w:r>
    </w:p>
    <w:p w:rsidR="00506071" w:rsidRPr="00874348" w:rsidRDefault="00506071" w:rsidP="00874348">
      <w:pPr>
        <w:pStyle w:val="JuLista"/>
        <w:rPr>
          <w:rFonts w:eastAsia="Times New Roman"/>
          <w:lang w:val="fr-FR"/>
        </w:rPr>
      </w:pPr>
      <w:r w:rsidRPr="00874348">
        <w:rPr>
          <w:rFonts w:eastAsia="Times New Roman"/>
          <w:lang w:val="fr-FR"/>
        </w:rPr>
        <w:t>a)  que l</w:t>
      </w:r>
      <w:r w:rsidR="00874348" w:rsidRPr="00874348">
        <w:rPr>
          <w:rFonts w:eastAsia="Times New Roman"/>
          <w:lang w:val="fr-FR"/>
        </w:rPr>
        <w:t>’</w:t>
      </w:r>
      <w:r w:rsidRPr="00874348">
        <w:rPr>
          <w:rFonts w:eastAsia="Times New Roman"/>
          <w:lang w:val="fr-FR"/>
        </w:rPr>
        <w:t>État défendeur doit verser aux requérants, dans les trois mois à compter du jour où l</w:t>
      </w:r>
      <w:r w:rsidR="00874348" w:rsidRPr="00874348">
        <w:rPr>
          <w:rFonts w:eastAsia="Times New Roman"/>
          <w:lang w:val="fr-FR"/>
        </w:rPr>
        <w:t>’</w:t>
      </w:r>
      <w:r w:rsidRPr="00874348">
        <w:rPr>
          <w:rFonts w:eastAsia="Times New Roman"/>
          <w:lang w:val="fr-FR"/>
        </w:rPr>
        <w:t xml:space="preserve">arrêt sera devenu définitif conformément à </w:t>
      </w:r>
      <w:r w:rsidRPr="00874348">
        <w:rPr>
          <w:lang w:val="fr-FR"/>
        </w:rPr>
        <w:t>l</w:t>
      </w:r>
      <w:r w:rsidR="00874348" w:rsidRPr="00874348">
        <w:rPr>
          <w:lang w:val="fr-FR"/>
        </w:rPr>
        <w:t>’</w:t>
      </w:r>
      <w:r w:rsidRPr="00874348">
        <w:rPr>
          <w:lang w:val="fr-FR"/>
        </w:rPr>
        <w:t>article</w:t>
      </w:r>
      <w:r w:rsidRPr="00874348">
        <w:rPr>
          <w:rFonts w:eastAsia="Times New Roman"/>
          <w:lang w:val="fr-FR"/>
        </w:rPr>
        <w:t> 44 § 2 de la Convention, les sommes suivantes au taux applicable à la date du règlement :</w:t>
      </w:r>
    </w:p>
    <w:p w:rsidR="00506071" w:rsidRPr="00874348" w:rsidRDefault="00506071" w:rsidP="00874348">
      <w:pPr>
        <w:pStyle w:val="JuListi"/>
        <w:rPr>
          <w:rFonts w:eastAsia="Times New Roman"/>
          <w:lang w:val="fr-FR" w:eastAsia="en-GB"/>
        </w:rPr>
      </w:pPr>
      <w:r w:rsidRPr="00874348">
        <w:rPr>
          <w:rFonts w:eastAsia="Times New Roman"/>
          <w:lang w:val="fr-FR" w:eastAsia="en-GB"/>
        </w:rPr>
        <w:t>i</w:t>
      </w:r>
      <w:r w:rsidR="00290C09" w:rsidRPr="00874348">
        <w:rPr>
          <w:rFonts w:eastAsia="Times New Roman"/>
          <w:lang w:val="fr-FR" w:eastAsia="en-GB"/>
        </w:rPr>
        <w:t>.</w:t>
      </w:r>
      <w:r w:rsidRPr="00874348">
        <w:rPr>
          <w:rFonts w:eastAsia="Times New Roman"/>
          <w:lang w:val="fr-FR" w:eastAsia="en-GB"/>
        </w:rPr>
        <w:t xml:space="preserve">  pour dommage </w:t>
      </w:r>
      <w:r w:rsidRPr="00874348">
        <w:rPr>
          <w:lang w:val="fr-FR"/>
        </w:rPr>
        <w:t>matériel</w:t>
      </w:r>
      <w:r w:rsidRPr="00874348">
        <w:rPr>
          <w:rFonts w:eastAsia="Times New Roman"/>
          <w:lang w:val="fr-FR" w:eastAsia="en-GB"/>
        </w:rPr>
        <w:t> :</w:t>
      </w:r>
    </w:p>
    <w:p w:rsidR="00506071" w:rsidRPr="00874348" w:rsidRDefault="00506071" w:rsidP="00874348">
      <w:pPr>
        <w:pStyle w:val="JuListi"/>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n</w:t>
      </w:r>
      <w:r w:rsidRPr="00874348">
        <w:rPr>
          <w:rFonts w:eastAsia="Times New Roman"/>
          <w:vertAlign w:val="superscript"/>
          <w:lang w:val="fr-FR"/>
        </w:rPr>
        <w:t>o</w:t>
      </w:r>
      <w:r w:rsidRPr="00874348">
        <w:rPr>
          <w:rFonts w:eastAsia="Times New Roman"/>
          <w:lang w:val="fr-FR"/>
        </w:rPr>
        <w:t xml:space="preserve"> 50 M</w:t>
      </w:r>
      <w:r w:rsidR="00CD4070" w:rsidRPr="00874348">
        <w:rPr>
          <w:rFonts w:eastAsia="Times New Roman"/>
          <w:lang w:val="fr-FR"/>
        </w:rPr>
        <w:t>.</w:t>
      </w:r>
      <w:r w:rsidRPr="00874348">
        <w:rPr>
          <w:rFonts w:eastAsia="Times New Roman"/>
          <w:lang w:val="fr-FR"/>
        </w:rPr>
        <w:t>C</w:t>
      </w:r>
      <w:r w:rsidR="00FF71E8" w:rsidRPr="00874348">
        <w:rPr>
          <w:rFonts w:eastAsia="Times New Roman"/>
          <w:lang w:val="fr-FR"/>
        </w:rPr>
        <w:t>. [1]</w:t>
      </w:r>
      <w:r w:rsidR="00CD4070" w:rsidRPr="00874348">
        <w:rPr>
          <w:rFonts w:eastAsia="Times New Roman"/>
          <w:lang w:val="fr-FR"/>
        </w:rPr>
        <w:t> :</w:t>
      </w:r>
      <w:r w:rsidRPr="00874348">
        <w:rPr>
          <w:rFonts w:eastAsia="Times New Roman"/>
          <w:lang w:val="fr-FR"/>
        </w:rPr>
        <w:t xml:space="preserve"> 131 674,84 EUR (cent trente et un mille six-cent soixante-quatorze euros et quatre-vingt-quatre centimes) ;</w:t>
      </w:r>
    </w:p>
    <w:p w:rsidR="00506071" w:rsidRPr="00874348" w:rsidRDefault="00506071" w:rsidP="00874348">
      <w:pPr>
        <w:pStyle w:val="JuListi"/>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n</w:t>
      </w:r>
      <w:r w:rsidRPr="00874348">
        <w:rPr>
          <w:rFonts w:eastAsia="Times New Roman"/>
          <w:vertAlign w:val="superscript"/>
          <w:lang w:val="fr-FR"/>
        </w:rPr>
        <w:t>o</w:t>
      </w:r>
      <w:r w:rsidRPr="00874348">
        <w:rPr>
          <w:rFonts w:eastAsia="Times New Roman"/>
          <w:lang w:val="fr-FR"/>
        </w:rPr>
        <w:t xml:space="preserve"> 57 M</w:t>
      </w:r>
      <w:r w:rsidR="00CD4070" w:rsidRPr="00874348">
        <w:rPr>
          <w:rFonts w:eastAsia="Times New Roman"/>
          <w:lang w:val="fr-FR"/>
        </w:rPr>
        <w:t>.</w:t>
      </w:r>
      <w:r w:rsidRPr="00874348">
        <w:rPr>
          <w:rFonts w:eastAsia="Times New Roman"/>
          <w:lang w:val="fr-FR"/>
        </w:rPr>
        <w:t>C</w:t>
      </w:r>
      <w:r w:rsidR="00CD4070" w:rsidRPr="00874348">
        <w:rPr>
          <w:rFonts w:eastAsia="Times New Roman"/>
          <w:lang w:val="fr-FR"/>
        </w:rPr>
        <w:t>.</w:t>
      </w:r>
      <w:r w:rsidR="00FF71E8" w:rsidRPr="00874348">
        <w:rPr>
          <w:rFonts w:eastAsia="Times New Roman"/>
          <w:lang w:val="fr-FR"/>
        </w:rPr>
        <w:t xml:space="preserve"> [2]</w:t>
      </w:r>
      <w:r w:rsidR="00CD4070" w:rsidRPr="00874348">
        <w:rPr>
          <w:rFonts w:eastAsia="Times New Roman"/>
          <w:lang w:val="fr-FR"/>
        </w:rPr>
        <w:t> :</w:t>
      </w:r>
      <w:r w:rsidRPr="00874348">
        <w:rPr>
          <w:rFonts w:eastAsia="Times New Roman"/>
          <w:lang w:val="fr-FR"/>
        </w:rPr>
        <w:t xml:space="preserve"> 111 099,18 EUR (cent onze mille quatre-vingt-dix-neuf euros et dix-huit centimes) ;</w:t>
      </w:r>
    </w:p>
    <w:p w:rsidR="00506071" w:rsidRPr="00874348" w:rsidRDefault="00506071" w:rsidP="00874348">
      <w:pPr>
        <w:pStyle w:val="JuListi"/>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n</w:t>
      </w:r>
      <w:r w:rsidRPr="00874348">
        <w:rPr>
          <w:rFonts w:eastAsia="Times New Roman"/>
          <w:vertAlign w:val="superscript"/>
          <w:lang w:val="fr-FR"/>
        </w:rPr>
        <w:t>o</w:t>
      </w:r>
      <w:r w:rsidRPr="00874348">
        <w:rPr>
          <w:rFonts w:eastAsia="Times New Roman"/>
          <w:lang w:val="fr-FR"/>
        </w:rPr>
        <w:t xml:space="preserve"> 200 M</w:t>
      </w:r>
      <w:r w:rsidR="00CD4070" w:rsidRPr="00874348">
        <w:rPr>
          <w:rFonts w:eastAsia="Times New Roman"/>
          <w:lang w:val="fr-FR"/>
        </w:rPr>
        <w:t>.</w:t>
      </w:r>
      <w:r w:rsidRPr="00874348">
        <w:rPr>
          <w:rFonts w:eastAsia="Times New Roman"/>
          <w:lang w:val="fr-FR"/>
        </w:rPr>
        <w:t>A</w:t>
      </w:r>
      <w:r w:rsidR="00CD4070" w:rsidRPr="00874348">
        <w:rPr>
          <w:rFonts w:eastAsia="Times New Roman"/>
          <w:lang w:val="fr-FR"/>
        </w:rPr>
        <w:t>.</w:t>
      </w:r>
      <w:r w:rsidRPr="00874348">
        <w:rPr>
          <w:rFonts w:eastAsia="Times New Roman"/>
          <w:lang w:val="fr-FR"/>
        </w:rPr>
        <w:t>N</w:t>
      </w:r>
      <w:r w:rsidR="00CD4070" w:rsidRPr="00874348">
        <w:rPr>
          <w:rFonts w:eastAsia="Times New Roman"/>
          <w:lang w:val="fr-FR"/>
        </w:rPr>
        <w:t>. </w:t>
      </w:r>
      <w:r w:rsidRPr="00874348">
        <w:rPr>
          <w:rFonts w:eastAsia="Times New Roman"/>
          <w:lang w:val="fr-FR"/>
        </w:rPr>
        <w:t>: 44 099,34 EUR (quarante-quatre mille quatre-vingt-dix-neuf-euros et trente-quatre centimes) ;</w:t>
      </w:r>
    </w:p>
    <w:p w:rsidR="00506071" w:rsidRPr="00874348" w:rsidRDefault="00506071" w:rsidP="00874348">
      <w:pPr>
        <w:pStyle w:val="JuListi"/>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n</w:t>
      </w:r>
      <w:r w:rsidRPr="00874348">
        <w:rPr>
          <w:rFonts w:eastAsia="Times New Roman"/>
          <w:vertAlign w:val="superscript"/>
          <w:lang w:val="fr-FR"/>
        </w:rPr>
        <w:t>o</w:t>
      </w:r>
      <w:r w:rsidRPr="00874348">
        <w:rPr>
          <w:rFonts w:eastAsia="Times New Roman"/>
          <w:lang w:val="fr-FR"/>
        </w:rPr>
        <w:t xml:space="preserve"> 226 G</w:t>
      </w:r>
      <w:r w:rsidR="00CD4070" w:rsidRPr="00874348">
        <w:rPr>
          <w:rFonts w:eastAsia="Times New Roman"/>
          <w:lang w:val="fr-FR"/>
        </w:rPr>
        <w:t>.</w:t>
      </w:r>
      <w:r w:rsidRPr="00874348">
        <w:rPr>
          <w:rFonts w:eastAsia="Times New Roman"/>
          <w:lang w:val="fr-FR"/>
        </w:rPr>
        <w:t>P</w:t>
      </w:r>
      <w:r w:rsidR="00CD4070" w:rsidRPr="00874348">
        <w:rPr>
          <w:rFonts w:eastAsia="Times New Roman"/>
          <w:lang w:val="fr-FR"/>
        </w:rPr>
        <w:t>.</w:t>
      </w:r>
      <w:r w:rsidR="00FF71E8" w:rsidRPr="00874348">
        <w:rPr>
          <w:rFonts w:eastAsia="Times New Roman"/>
          <w:lang w:val="fr-FR"/>
        </w:rPr>
        <w:t xml:space="preserve"> [1]</w:t>
      </w:r>
      <w:r w:rsidR="00CD4070" w:rsidRPr="00874348">
        <w:rPr>
          <w:rFonts w:eastAsia="Times New Roman"/>
          <w:lang w:val="fr-FR"/>
        </w:rPr>
        <w:t> :</w:t>
      </w:r>
      <w:r w:rsidRPr="00874348">
        <w:rPr>
          <w:rFonts w:eastAsia="Times New Roman"/>
          <w:lang w:val="fr-FR"/>
        </w:rPr>
        <w:t xml:space="preserve"> 236 750,05 EUR (deux cent trente-six mille sept cent cinquante euros et cinq centimes) ;</w:t>
      </w:r>
    </w:p>
    <w:p w:rsidR="00506071" w:rsidRPr="00874348" w:rsidRDefault="00506071" w:rsidP="00874348">
      <w:pPr>
        <w:pStyle w:val="JuListi"/>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n</w:t>
      </w:r>
      <w:r w:rsidRPr="00874348">
        <w:rPr>
          <w:rFonts w:eastAsia="Times New Roman"/>
          <w:vertAlign w:val="superscript"/>
          <w:lang w:val="fr-FR"/>
        </w:rPr>
        <w:t>o</w:t>
      </w:r>
      <w:r w:rsidRPr="00874348">
        <w:rPr>
          <w:rFonts w:eastAsia="Times New Roman"/>
          <w:lang w:val="fr-FR"/>
        </w:rPr>
        <w:t xml:space="preserve"> 227 T</w:t>
      </w:r>
      <w:r w:rsidR="00CD4070" w:rsidRPr="00874348">
        <w:rPr>
          <w:rFonts w:eastAsia="Times New Roman"/>
          <w:lang w:val="fr-FR"/>
        </w:rPr>
        <w:t>.</w:t>
      </w:r>
      <w:r w:rsidRPr="00874348">
        <w:rPr>
          <w:rFonts w:eastAsia="Times New Roman"/>
          <w:lang w:val="fr-FR"/>
        </w:rPr>
        <w:t>P</w:t>
      </w:r>
      <w:r w:rsidR="00CD4070" w:rsidRPr="00874348">
        <w:rPr>
          <w:rFonts w:eastAsia="Times New Roman"/>
          <w:lang w:val="fr-FR"/>
        </w:rPr>
        <w:t>. :</w:t>
      </w:r>
      <w:r w:rsidRPr="00874348">
        <w:rPr>
          <w:rFonts w:eastAsia="Times New Roman"/>
          <w:lang w:val="fr-FR"/>
        </w:rPr>
        <w:t xml:space="preserve"> 350 955,53 EUR (trois cent cinquante mille neuf cent cinquante-cinq euros et cinquante-trois centimes) ;</w:t>
      </w:r>
    </w:p>
    <w:p w:rsidR="00506071" w:rsidRPr="00874348" w:rsidRDefault="00506071" w:rsidP="00874348">
      <w:pPr>
        <w:pStyle w:val="JuListi"/>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n</w:t>
      </w:r>
      <w:r w:rsidRPr="00874348">
        <w:rPr>
          <w:rFonts w:eastAsia="Times New Roman"/>
          <w:vertAlign w:val="superscript"/>
          <w:lang w:val="fr-FR"/>
        </w:rPr>
        <w:t>o</w:t>
      </w:r>
      <w:r w:rsidRPr="00874348">
        <w:rPr>
          <w:rFonts w:eastAsia="Times New Roman"/>
          <w:lang w:val="fr-FR"/>
        </w:rPr>
        <w:t xml:space="preserve"> 231 G</w:t>
      </w:r>
      <w:r w:rsidR="00CD4070" w:rsidRPr="00874348">
        <w:rPr>
          <w:rFonts w:eastAsia="Times New Roman"/>
          <w:lang w:val="fr-FR"/>
        </w:rPr>
        <w:t>.</w:t>
      </w:r>
      <w:r w:rsidRPr="00874348">
        <w:rPr>
          <w:rFonts w:eastAsia="Times New Roman"/>
          <w:lang w:val="fr-FR"/>
        </w:rPr>
        <w:t>P</w:t>
      </w:r>
      <w:r w:rsidR="00CD4070" w:rsidRPr="00874348">
        <w:rPr>
          <w:rFonts w:eastAsia="Times New Roman"/>
          <w:lang w:val="fr-FR"/>
        </w:rPr>
        <w:t>.</w:t>
      </w:r>
      <w:r w:rsidR="00FF71E8" w:rsidRPr="00874348">
        <w:rPr>
          <w:rFonts w:eastAsia="Times New Roman"/>
          <w:lang w:val="fr-FR"/>
        </w:rPr>
        <w:t xml:space="preserve"> [2]</w:t>
      </w:r>
      <w:r w:rsidR="00CD4070" w:rsidRPr="00874348">
        <w:rPr>
          <w:rFonts w:eastAsia="Times New Roman"/>
          <w:lang w:val="fr-FR"/>
        </w:rPr>
        <w:t> </w:t>
      </w:r>
      <w:r w:rsidRPr="00874348">
        <w:rPr>
          <w:rFonts w:eastAsia="Times New Roman"/>
          <w:lang w:val="fr-FR"/>
        </w:rPr>
        <w:t>: 181 540,15 EUR (cent quatre-vingt et un mille cinq cent quarante euros et quinze centimes) ;</w:t>
      </w:r>
    </w:p>
    <w:p w:rsidR="00506071" w:rsidRPr="00874348" w:rsidRDefault="00506071" w:rsidP="00874348">
      <w:pPr>
        <w:pStyle w:val="JuListi"/>
        <w:rPr>
          <w:rFonts w:eastAsia="Times New Roman"/>
          <w:lang w:val="fr-FR"/>
        </w:rPr>
      </w:pPr>
      <w:r w:rsidRPr="00874348">
        <w:rPr>
          <w:rFonts w:eastAsia="Times New Roman"/>
          <w:lang w:val="fr-FR"/>
        </w:rPr>
        <w:t>-</w:t>
      </w:r>
      <w:r w:rsidR="00572861" w:rsidRPr="00874348">
        <w:rPr>
          <w:rFonts w:eastAsia="Times New Roman"/>
          <w:lang w:val="fr-FR"/>
        </w:rPr>
        <w:t>  </w:t>
      </w:r>
      <w:r w:rsidRPr="00874348">
        <w:rPr>
          <w:rFonts w:eastAsia="Times New Roman"/>
          <w:lang w:val="fr-FR"/>
        </w:rPr>
        <w:t>n</w:t>
      </w:r>
      <w:r w:rsidRPr="00874348">
        <w:rPr>
          <w:rFonts w:eastAsia="Times New Roman"/>
          <w:vertAlign w:val="superscript"/>
          <w:lang w:val="fr-FR"/>
        </w:rPr>
        <w:t>o</w:t>
      </w:r>
      <w:r w:rsidRPr="00874348">
        <w:rPr>
          <w:rFonts w:eastAsia="Times New Roman"/>
          <w:lang w:val="fr-FR"/>
        </w:rPr>
        <w:t xml:space="preserve"> 268 G</w:t>
      </w:r>
      <w:r w:rsidR="00CD4070" w:rsidRPr="00874348">
        <w:rPr>
          <w:rFonts w:eastAsia="Times New Roman"/>
          <w:lang w:val="fr-FR"/>
        </w:rPr>
        <w:t>.</w:t>
      </w:r>
      <w:r w:rsidRPr="00874348">
        <w:rPr>
          <w:rFonts w:eastAsia="Times New Roman"/>
          <w:lang w:val="fr-FR"/>
        </w:rPr>
        <w:t>S</w:t>
      </w:r>
      <w:r w:rsidR="00CD4070" w:rsidRPr="00874348">
        <w:rPr>
          <w:rFonts w:eastAsia="Times New Roman"/>
          <w:lang w:val="fr-FR"/>
        </w:rPr>
        <w:t>.</w:t>
      </w:r>
      <w:r w:rsidRPr="00874348">
        <w:rPr>
          <w:rFonts w:eastAsia="Times New Roman"/>
          <w:lang w:val="fr-FR"/>
        </w:rPr>
        <w:t> : 73 886,20 EUR (soixante-treize mille huit cent quatre-vingt-six euros et vingt centimes) ;</w:t>
      </w:r>
    </w:p>
    <w:p w:rsidR="00506071" w:rsidRPr="00874348" w:rsidRDefault="00506071" w:rsidP="00874348">
      <w:pPr>
        <w:pStyle w:val="JuListi"/>
        <w:rPr>
          <w:rFonts w:eastAsia="Times New Roman"/>
          <w:lang w:val="fr-FR"/>
        </w:rPr>
      </w:pPr>
      <w:r w:rsidRPr="00874348">
        <w:rPr>
          <w:rFonts w:eastAsia="Times New Roman"/>
          <w:lang w:val="fr-FR"/>
        </w:rPr>
        <w:t>plus tout montant pouvant être dû à titre d</w:t>
      </w:r>
      <w:r w:rsidR="00874348" w:rsidRPr="00874348">
        <w:rPr>
          <w:rFonts w:eastAsia="Times New Roman"/>
          <w:lang w:val="fr-FR"/>
        </w:rPr>
        <w:t>’</w:t>
      </w:r>
      <w:r w:rsidRPr="00874348">
        <w:rPr>
          <w:rFonts w:eastAsia="Times New Roman"/>
          <w:lang w:val="fr-FR"/>
        </w:rPr>
        <w:t>impôt ;</w:t>
      </w:r>
    </w:p>
    <w:p w:rsidR="00506071" w:rsidRPr="00874348" w:rsidRDefault="00506071" w:rsidP="00874348">
      <w:pPr>
        <w:pStyle w:val="JuListi"/>
        <w:rPr>
          <w:rFonts w:eastAsia="Times New Roman"/>
          <w:lang w:val="fr-FR" w:eastAsia="en-GB"/>
        </w:rPr>
      </w:pPr>
      <w:r w:rsidRPr="00874348">
        <w:rPr>
          <w:rFonts w:eastAsia="Times New Roman"/>
          <w:lang w:val="fr-FR" w:eastAsia="en-GB"/>
        </w:rPr>
        <w:t>ii</w:t>
      </w:r>
      <w:r w:rsidR="00290C09" w:rsidRPr="00874348">
        <w:rPr>
          <w:rFonts w:eastAsia="Times New Roman"/>
          <w:lang w:val="fr-FR" w:eastAsia="en-GB"/>
        </w:rPr>
        <w:t>.</w:t>
      </w:r>
      <w:r w:rsidRPr="00874348">
        <w:rPr>
          <w:rFonts w:eastAsia="Times New Roman"/>
          <w:lang w:val="fr-FR" w:eastAsia="en-GB"/>
        </w:rPr>
        <w:t xml:space="preserve">  10 000 EUR (dix mille euros), plus tout </w:t>
      </w:r>
      <w:r w:rsidRPr="00874348">
        <w:rPr>
          <w:lang w:val="fr-FR"/>
        </w:rPr>
        <w:t>montant</w:t>
      </w:r>
      <w:r w:rsidRPr="00874348">
        <w:rPr>
          <w:rFonts w:eastAsia="Times New Roman"/>
          <w:lang w:val="fr-FR" w:eastAsia="en-GB"/>
        </w:rPr>
        <w:t xml:space="preserve"> pouvant être dû à titre d</w:t>
      </w:r>
      <w:r w:rsidR="00874348" w:rsidRPr="00874348">
        <w:rPr>
          <w:rFonts w:eastAsia="Times New Roman"/>
          <w:lang w:val="fr-FR" w:eastAsia="en-GB"/>
        </w:rPr>
        <w:t>’</w:t>
      </w:r>
      <w:r w:rsidRPr="00874348">
        <w:rPr>
          <w:rFonts w:eastAsia="Times New Roman"/>
          <w:lang w:val="fr-FR" w:eastAsia="en-GB"/>
        </w:rPr>
        <w:t>impôt, pour chacun des sept requérants mentionnés au point i) ci-dessus pour dommage moral ;</w:t>
      </w:r>
    </w:p>
    <w:p w:rsidR="00506071" w:rsidRPr="00874348" w:rsidRDefault="00506071" w:rsidP="00874348">
      <w:pPr>
        <w:pStyle w:val="JuListi"/>
        <w:rPr>
          <w:rFonts w:eastAsia="Times New Roman"/>
          <w:lang w:val="fr-FR" w:eastAsia="en-GB"/>
        </w:rPr>
      </w:pPr>
      <w:r w:rsidRPr="00874348">
        <w:rPr>
          <w:rFonts w:eastAsia="Times New Roman"/>
          <w:lang w:val="fr-FR" w:eastAsia="en-GB"/>
        </w:rPr>
        <w:t>iii</w:t>
      </w:r>
      <w:r w:rsidR="00290C09" w:rsidRPr="00874348">
        <w:rPr>
          <w:rFonts w:eastAsia="Times New Roman"/>
          <w:lang w:val="fr-FR" w:eastAsia="en-GB"/>
        </w:rPr>
        <w:t>.</w:t>
      </w:r>
      <w:r w:rsidRPr="00874348">
        <w:rPr>
          <w:rFonts w:eastAsia="Times New Roman"/>
          <w:lang w:val="fr-FR" w:eastAsia="en-GB"/>
        </w:rPr>
        <w:t>  les sommes indiquées dans le tableau en annexe, plus tout montant pouvant être dû à titre d</w:t>
      </w:r>
      <w:r w:rsidR="00874348" w:rsidRPr="00874348">
        <w:rPr>
          <w:rFonts w:eastAsia="Times New Roman"/>
          <w:lang w:val="fr-FR" w:eastAsia="en-GB"/>
        </w:rPr>
        <w:t>’</w:t>
      </w:r>
      <w:r w:rsidRPr="00874348">
        <w:rPr>
          <w:rFonts w:eastAsia="Times New Roman"/>
          <w:lang w:val="fr-FR" w:eastAsia="en-GB"/>
        </w:rPr>
        <w:t>impôt, pour chacun des requérants faisant partie des requêtes indiquées aux n</w:t>
      </w:r>
      <w:r w:rsidRPr="00874348">
        <w:rPr>
          <w:rFonts w:eastAsia="Times New Roman"/>
          <w:vertAlign w:val="superscript"/>
          <w:lang w:val="fr-FR" w:eastAsia="en-GB"/>
        </w:rPr>
        <w:t>os</w:t>
      </w:r>
      <w:r w:rsidRPr="00874348">
        <w:rPr>
          <w:rFonts w:eastAsia="Times New Roman"/>
          <w:lang w:val="fr-FR" w:eastAsia="en-GB"/>
        </w:rPr>
        <w:t xml:space="preserve"> 1 à 15 (à l</w:t>
      </w:r>
      <w:r w:rsidR="00874348" w:rsidRPr="00874348">
        <w:rPr>
          <w:rFonts w:eastAsia="Times New Roman"/>
          <w:lang w:val="fr-FR" w:eastAsia="en-GB"/>
        </w:rPr>
        <w:t>’</w:t>
      </w:r>
      <w:r w:rsidRPr="00874348">
        <w:rPr>
          <w:rFonts w:eastAsia="Times New Roman"/>
          <w:lang w:val="fr-FR" w:eastAsia="en-GB"/>
        </w:rPr>
        <w:t>exception de la requête n</w:t>
      </w:r>
      <w:r w:rsidRPr="00874348">
        <w:rPr>
          <w:rFonts w:eastAsia="Times New Roman"/>
          <w:vertAlign w:val="superscript"/>
          <w:lang w:val="fr-FR" w:eastAsia="en-GB"/>
        </w:rPr>
        <w:t>o</w:t>
      </w:r>
      <w:r w:rsidRPr="00874348">
        <w:rPr>
          <w:rFonts w:eastAsia="Times New Roman"/>
          <w:lang w:val="fr-FR" w:eastAsia="en-GB"/>
        </w:rPr>
        <w:t> 5 et de la requête introduite par la requérante indiquée au n</w:t>
      </w:r>
      <w:r w:rsidRPr="00874348">
        <w:rPr>
          <w:rFonts w:eastAsia="Times New Roman"/>
          <w:vertAlign w:val="superscript"/>
          <w:lang w:val="fr-FR" w:eastAsia="en-GB"/>
        </w:rPr>
        <w:t>o</w:t>
      </w:r>
      <w:r w:rsidRPr="00874348">
        <w:rPr>
          <w:rFonts w:eastAsia="Times New Roman"/>
          <w:lang w:val="fr-FR" w:eastAsia="en-GB"/>
        </w:rPr>
        <w:t> 14 de la requête n</w:t>
      </w:r>
      <w:r w:rsidRPr="00874348">
        <w:rPr>
          <w:rFonts w:eastAsia="Times New Roman"/>
          <w:vertAlign w:val="superscript"/>
          <w:lang w:val="fr-FR" w:eastAsia="en-GB"/>
        </w:rPr>
        <w:t>o</w:t>
      </w:r>
      <w:r w:rsidRPr="00874348">
        <w:rPr>
          <w:rFonts w:eastAsia="Times New Roman"/>
          <w:lang w:val="fr-FR" w:eastAsia="en-GB"/>
        </w:rPr>
        <w:t xml:space="preserve"> 68060/12) pour dommage moral. Ces sommes seront allouées conjointement aux requérants ayant introduit leur requête en tant qu</w:t>
      </w:r>
      <w:r w:rsidR="00874348" w:rsidRPr="00874348">
        <w:rPr>
          <w:rFonts w:eastAsia="Times New Roman"/>
          <w:lang w:val="fr-FR" w:eastAsia="en-GB"/>
        </w:rPr>
        <w:t>’</w:t>
      </w:r>
      <w:r w:rsidRPr="00874348">
        <w:rPr>
          <w:rFonts w:eastAsia="Times New Roman"/>
          <w:lang w:val="fr-FR" w:eastAsia="en-GB"/>
        </w:rPr>
        <w:t>héritiers d</w:t>
      </w:r>
      <w:r w:rsidR="00874348" w:rsidRPr="00874348">
        <w:rPr>
          <w:rFonts w:eastAsia="Times New Roman"/>
          <w:lang w:val="fr-FR" w:eastAsia="en-GB"/>
        </w:rPr>
        <w:t>’</w:t>
      </w:r>
      <w:r w:rsidRPr="00874348">
        <w:rPr>
          <w:rFonts w:eastAsia="Times New Roman"/>
          <w:lang w:val="fr-FR" w:eastAsia="en-GB"/>
        </w:rPr>
        <w:t>une personne infectée ;</w:t>
      </w:r>
    </w:p>
    <w:p w:rsidR="00506071" w:rsidRPr="00874348" w:rsidRDefault="00506071" w:rsidP="00874348">
      <w:pPr>
        <w:pStyle w:val="JuListi"/>
        <w:rPr>
          <w:rFonts w:eastAsia="Times New Roman"/>
          <w:lang w:val="fr-FR" w:eastAsia="en-GB"/>
        </w:rPr>
      </w:pPr>
      <w:r w:rsidRPr="00874348">
        <w:rPr>
          <w:rFonts w:eastAsia="Times New Roman"/>
          <w:lang w:val="fr-FR" w:eastAsia="en-GB"/>
        </w:rPr>
        <w:t>iv</w:t>
      </w:r>
      <w:r w:rsidR="00290C09" w:rsidRPr="00874348">
        <w:rPr>
          <w:rFonts w:eastAsia="Times New Roman"/>
          <w:lang w:val="fr-FR" w:eastAsia="en-GB"/>
        </w:rPr>
        <w:t>.</w:t>
      </w:r>
      <w:r w:rsidRPr="00874348">
        <w:rPr>
          <w:rFonts w:eastAsia="Times New Roman"/>
          <w:lang w:val="fr-FR" w:eastAsia="en-GB"/>
        </w:rPr>
        <w:t>  200 EUR (deux cent euros), plus tout montant pouvant être dû par les requérants à titre d</w:t>
      </w:r>
      <w:r w:rsidR="00874348" w:rsidRPr="00874348">
        <w:rPr>
          <w:rFonts w:eastAsia="Times New Roman"/>
          <w:lang w:val="fr-FR" w:eastAsia="en-GB"/>
        </w:rPr>
        <w:t>’</w:t>
      </w:r>
      <w:r w:rsidRPr="00874348">
        <w:rPr>
          <w:rFonts w:eastAsia="Times New Roman"/>
          <w:lang w:val="fr-FR" w:eastAsia="en-GB"/>
        </w:rPr>
        <w:t xml:space="preserve">impôt, pour </w:t>
      </w:r>
      <w:r w:rsidRPr="00874348">
        <w:rPr>
          <w:lang w:val="fr-FR"/>
        </w:rPr>
        <w:t>chacun</w:t>
      </w:r>
      <w:r w:rsidRPr="00874348">
        <w:rPr>
          <w:rFonts w:eastAsia="Times New Roman"/>
          <w:lang w:val="fr-FR" w:eastAsia="en-GB"/>
        </w:rPr>
        <w:t xml:space="preserve"> des requérants mentionnés aux point</w:t>
      </w:r>
      <w:r w:rsidR="00CD4070" w:rsidRPr="00874348">
        <w:rPr>
          <w:rFonts w:eastAsia="Times New Roman"/>
          <w:lang w:val="fr-FR" w:eastAsia="en-GB"/>
        </w:rPr>
        <w:t>s</w:t>
      </w:r>
      <w:r w:rsidRPr="00874348">
        <w:rPr>
          <w:rFonts w:eastAsia="Times New Roman"/>
          <w:lang w:val="fr-FR" w:eastAsia="en-GB"/>
        </w:rPr>
        <w:t xml:space="preserve"> i</w:t>
      </w:r>
      <w:r w:rsidR="00290C09" w:rsidRPr="00874348">
        <w:rPr>
          <w:rFonts w:eastAsia="Times New Roman"/>
          <w:lang w:val="fr-FR" w:eastAsia="en-GB"/>
        </w:rPr>
        <w:t>.</w:t>
      </w:r>
      <w:r w:rsidRPr="00874348">
        <w:rPr>
          <w:rFonts w:eastAsia="Times New Roman"/>
          <w:lang w:val="fr-FR" w:eastAsia="en-GB"/>
        </w:rPr>
        <w:t xml:space="preserve"> et iii</w:t>
      </w:r>
      <w:r w:rsidR="00290C09" w:rsidRPr="00874348">
        <w:rPr>
          <w:rFonts w:eastAsia="Times New Roman"/>
          <w:lang w:val="fr-FR" w:eastAsia="en-GB"/>
        </w:rPr>
        <w:t>.</w:t>
      </w:r>
      <w:r w:rsidRPr="00874348">
        <w:rPr>
          <w:rFonts w:eastAsia="Times New Roman"/>
          <w:lang w:val="fr-FR" w:eastAsia="en-GB"/>
        </w:rPr>
        <w:t xml:space="preserve"> ci-dessus pour frais et dépens encourus devant la Cour, sauf pour les requérants des requêtes nos 7 à 15, auxquels la Cour alloue conjointement 17 455 EUR ;</w:t>
      </w:r>
    </w:p>
    <w:p w:rsidR="00506071" w:rsidRPr="00874348" w:rsidRDefault="00506071" w:rsidP="00874348">
      <w:pPr>
        <w:pStyle w:val="JuListi"/>
        <w:rPr>
          <w:rFonts w:eastAsia="Times New Roman"/>
          <w:lang w:val="fr-FR" w:eastAsia="en-GB"/>
        </w:rPr>
      </w:pPr>
      <w:r w:rsidRPr="00874348">
        <w:rPr>
          <w:rFonts w:eastAsia="Times New Roman"/>
          <w:lang w:val="fr-FR" w:eastAsia="en-GB"/>
        </w:rPr>
        <w:t>v</w:t>
      </w:r>
      <w:r w:rsidR="00290C09" w:rsidRPr="00874348">
        <w:rPr>
          <w:rFonts w:eastAsia="Times New Roman"/>
          <w:lang w:val="fr-FR" w:eastAsia="en-GB"/>
        </w:rPr>
        <w:t>.</w:t>
      </w:r>
      <w:r w:rsidR="00AF3B69" w:rsidRPr="00874348">
        <w:rPr>
          <w:rFonts w:eastAsia="Times New Roman"/>
          <w:lang w:val="fr-FR" w:eastAsia="en-GB"/>
        </w:rPr>
        <w:t>  </w:t>
      </w:r>
      <w:r w:rsidRPr="00874348">
        <w:rPr>
          <w:rFonts w:eastAsia="Times New Roman"/>
          <w:lang w:val="fr-FR" w:eastAsia="en-GB"/>
        </w:rPr>
        <w:t>quant aux frais et dépens encourus devant les instances internes :</w:t>
      </w:r>
    </w:p>
    <w:p w:rsidR="00506071" w:rsidRPr="00874348" w:rsidRDefault="00506071" w:rsidP="00874348">
      <w:pPr>
        <w:pStyle w:val="JuListi"/>
        <w:rPr>
          <w:lang w:val="fr-FR"/>
        </w:rPr>
      </w:pPr>
      <w:r w:rsidRPr="00874348">
        <w:rPr>
          <w:lang w:val="fr-FR"/>
        </w:rPr>
        <w:lastRenderedPageBreak/>
        <w:t>-</w:t>
      </w:r>
      <w:r w:rsidR="00572861" w:rsidRPr="00874348">
        <w:rPr>
          <w:lang w:val="fr-FR"/>
        </w:rPr>
        <w:t>  </w:t>
      </w:r>
      <w:r w:rsidRPr="00874348">
        <w:rPr>
          <w:lang w:val="fr-FR"/>
        </w:rPr>
        <w:t>2 000 EUR (deux mille euros), plus tout montant pouvant être dû par les requérants à titre d</w:t>
      </w:r>
      <w:r w:rsidR="00874348" w:rsidRPr="00874348">
        <w:rPr>
          <w:lang w:val="fr-FR"/>
        </w:rPr>
        <w:t>’</w:t>
      </w:r>
      <w:r w:rsidRPr="00874348">
        <w:rPr>
          <w:lang w:val="fr-FR"/>
        </w:rPr>
        <w:t>impôt, pour chacun des requérants mentionnés au point i) ci-dessus.</w:t>
      </w:r>
    </w:p>
    <w:p w:rsidR="00506071" w:rsidRPr="00874348" w:rsidRDefault="00506071" w:rsidP="00874348">
      <w:pPr>
        <w:pStyle w:val="JuListi"/>
        <w:rPr>
          <w:lang w:val="fr-FR"/>
        </w:rPr>
      </w:pPr>
      <w:r w:rsidRPr="00874348">
        <w:rPr>
          <w:lang w:val="fr-FR"/>
        </w:rPr>
        <w:t>-</w:t>
      </w:r>
      <w:r w:rsidR="00572861" w:rsidRPr="00874348">
        <w:rPr>
          <w:lang w:val="fr-FR"/>
        </w:rPr>
        <w:t>  </w:t>
      </w:r>
      <w:r w:rsidRPr="00874348">
        <w:rPr>
          <w:lang w:val="fr-FR"/>
        </w:rPr>
        <w:t>pour les requêtes indiquées aux nos 1 à 3, 2 000 EUR (deux mille euros) pour chacun des requérants ou la somme demandée par les requérants, lorsqu</w:t>
      </w:r>
      <w:r w:rsidR="00874348" w:rsidRPr="00874348">
        <w:rPr>
          <w:lang w:val="fr-FR"/>
        </w:rPr>
        <w:t>’</w:t>
      </w:r>
      <w:r w:rsidRPr="00874348">
        <w:rPr>
          <w:lang w:val="fr-FR"/>
        </w:rPr>
        <w:t>inférieure à cette dernière (quant à ces derniers chiffres, elle renvoie au tableau en annexe) ;</w:t>
      </w:r>
    </w:p>
    <w:p w:rsidR="00506071" w:rsidRPr="00874348" w:rsidRDefault="00506071" w:rsidP="00874348">
      <w:pPr>
        <w:pStyle w:val="JuListi"/>
        <w:rPr>
          <w:lang w:val="fr-FR"/>
        </w:rPr>
      </w:pPr>
      <w:r w:rsidRPr="00874348">
        <w:rPr>
          <w:lang w:val="fr-FR"/>
        </w:rPr>
        <w:t>-</w:t>
      </w:r>
      <w:r w:rsidR="00572861" w:rsidRPr="00874348">
        <w:rPr>
          <w:lang w:val="fr-FR"/>
        </w:rPr>
        <w:t>  </w:t>
      </w:r>
      <w:r w:rsidRPr="00874348">
        <w:rPr>
          <w:lang w:val="fr-FR"/>
        </w:rPr>
        <w:t>ces sommes seront allouées conjointement aux requérants ayant introduit leur requête en tant qu</w:t>
      </w:r>
      <w:r w:rsidR="00874348" w:rsidRPr="00874348">
        <w:rPr>
          <w:lang w:val="fr-FR"/>
        </w:rPr>
        <w:t>’</w:t>
      </w:r>
      <w:r w:rsidRPr="00874348">
        <w:rPr>
          <w:lang w:val="fr-FR"/>
        </w:rPr>
        <w:t>héritiers d</w:t>
      </w:r>
      <w:r w:rsidR="00874348" w:rsidRPr="00874348">
        <w:rPr>
          <w:lang w:val="fr-FR"/>
        </w:rPr>
        <w:t>’</w:t>
      </w:r>
      <w:r w:rsidR="00290C09" w:rsidRPr="00874348">
        <w:rPr>
          <w:lang w:val="fr-FR"/>
        </w:rPr>
        <w:t>une personne infectée ;</w:t>
      </w:r>
    </w:p>
    <w:p w:rsidR="00506071" w:rsidRPr="00874348" w:rsidRDefault="00506071" w:rsidP="00874348">
      <w:pPr>
        <w:pStyle w:val="JuLista"/>
        <w:rPr>
          <w:lang w:val="fr-FR"/>
        </w:rPr>
      </w:pPr>
      <w:r w:rsidRPr="00874348">
        <w:rPr>
          <w:lang w:val="fr-FR"/>
        </w:rPr>
        <w:t>b)  qu</w:t>
      </w:r>
      <w:r w:rsidR="00874348" w:rsidRPr="00874348">
        <w:rPr>
          <w:lang w:val="fr-FR"/>
        </w:rPr>
        <w:t>’</w:t>
      </w:r>
      <w:r w:rsidRPr="00874348">
        <w:rPr>
          <w:lang w:val="fr-FR"/>
        </w:rPr>
        <w:t>à compter de l</w:t>
      </w:r>
      <w:r w:rsidR="00874348" w:rsidRPr="00874348">
        <w:rPr>
          <w:lang w:val="fr-FR"/>
        </w:rPr>
        <w:t>’</w:t>
      </w:r>
      <w:r w:rsidRPr="00874348">
        <w:rPr>
          <w:lang w:val="fr-FR"/>
        </w:rPr>
        <w:t>expiration dudit délai et jusqu</w:t>
      </w:r>
      <w:r w:rsidR="00874348" w:rsidRPr="00874348">
        <w:rPr>
          <w:lang w:val="fr-FR"/>
        </w:rPr>
        <w:t>’</w:t>
      </w:r>
      <w:r w:rsidRPr="00874348">
        <w:rPr>
          <w:lang w:val="fr-FR"/>
        </w:rPr>
        <w:t>au versement, ces montants seront à majorer d</w:t>
      </w:r>
      <w:r w:rsidR="00874348" w:rsidRPr="00874348">
        <w:rPr>
          <w:lang w:val="fr-FR"/>
        </w:rPr>
        <w:t>’</w:t>
      </w:r>
      <w:r w:rsidRPr="00874348">
        <w:rPr>
          <w:lang w:val="fr-FR"/>
        </w:rPr>
        <w:t>un intérêt simple à un taux égal à celui de la facilité de prêt marginal de la Banque centrale européenne applicable pendant cette période, augmenté de trois points de pourcentage ;</w:t>
      </w:r>
    </w:p>
    <w:p w:rsidR="00506071" w:rsidRPr="00874348" w:rsidRDefault="00506071" w:rsidP="00874348">
      <w:pPr>
        <w:pStyle w:val="JuList"/>
        <w:rPr>
          <w:lang w:val="fr-FR"/>
        </w:rPr>
      </w:pPr>
    </w:p>
    <w:p w:rsidR="00506071" w:rsidRPr="00874348" w:rsidRDefault="00506071" w:rsidP="00874348">
      <w:pPr>
        <w:pStyle w:val="JuList"/>
        <w:rPr>
          <w:lang w:val="fr-FR"/>
        </w:rPr>
      </w:pPr>
      <w:r w:rsidRPr="00874348">
        <w:rPr>
          <w:lang w:val="fr-FR"/>
        </w:rPr>
        <w:t>12.  Rejette la demande de satisfaction équitable pour le surplus.</w:t>
      </w:r>
    </w:p>
    <w:p w:rsidR="00506071" w:rsidRPr="00874348" w:rsidRDefault="00506071" w:rsidP="00874348">
      <w:pPr>
        <w:pStyle w:val="JuParaLast"/>
        <w:rPr>
          <w:lang w:val="fr-FR"/>
        </w:rPr>
      </w:pPr>
      <w:r w:rsidRPr="00874348">
        <w:rPr>
          <w:lang w:val="fr-FR"/>
        </w:rPr>
        <w:t>Fait en français, puis communiqué par écrit le 14 janvier 2016, en application de l</w:t>
      </w:r>
      <w:r w:rsidR="00874348" w:rsidRPr="00874348">
        <w:rPr>
          <w:lang w:val="fr-FR"/>
        </w:rPr>
        <w:t>’</w:t>
      </w:r>
      <w:r w:rsidRPr="00874348">
        <w:rPr>
          <w:lang w:val="fr-FR"/>
        </w:rPr>
        <w:t>article 77 §§ 2 et 3 du règlement de la Cour.</w:t>
      </w:r>
    </w:p>
    <w:p w:rsidR="00506071" w:rsidRPr="00874348" w:rsidRDefault="00506071" w:rsidP="00874348">
      <w:pPr>
        <w:pStyle w:val="JuSigned"/>
        <w:keepNext/>
        <w:keepLines/>
        <w:tabs>
          <w:tab w:val="clear" w:pos="6407"/>
          <w:tab w:val="center" w:pos="5954"/>
        </w:tabs>
        <w:rPr>
          <w:lang w:val="fr-FR"/>
        </w:rPr>
      </w:pPr>
      <w:r w:rsidRPr="00874348">
        <w:rPr>
          <w:lang w:val="fr-FR"/>
        </w:rPr>
        <w:tab/>
        <w:t>André Wampach</w:t>
      </w:r>
      <w:r w:rsidRPr="00874348">
        <w:rPr>
          <w:lang w:val="fr-FR"/>
        </w:rPr>
        <w:tab/>
        <w:t>Mirjana Lazarova Trajkovska</w:t>
      </w:r>
      <w:r w:rsidRPr="00874348">
        <w:rPr>
          <w:lang w:val="fr-FR"/>
        </w:rPr>
        <w:br/>
      </w:r>
      <w:r w:rsidRPr="00874348">
        <w:rPr>
          <w:lang w:val="fr-FR"/>
        </w:rPr>
        <w:tab/>
        <w:t>Greffier adjoint</w:t>
      </w:r>
      <w:r w:rsidRPr="00874348">
        <w:rPr>
          <w:lang w:val="fr-FR"/>
        </w:rPr>
        <w:tab/>
        <w:t>Présidente</w:t>
      </w:r>
    </w:p>
    <w:p w:rsidR="0077568A" w:rsidRPr="00874348" w:rsidRDefault="0077568A" w:rsidP="00874348">
      <w:pPr>
        <w:rPr>
          <w:lang w:val="fr-FR"/>
        </w:rPr>
      </w:pPr>
      <w:r w:rsidRPr="00874348">
        <w:rPr>
          <w:lang w:val="fr-FR"/>
        </w:rPr>
        <w:br w:type="page"/>
      </w:r>
    </w:p>
    <w:p w:rsidR="00C54419" w:rsidRPr="00874348" w:rsidRDefault="00C54419" w:rsidP="00874348">
      <w:pPr>
        <w:ind w:right="-715"/>
        <w:jc w:val="center"/>
        <w:rPr>
          <w:rFonts w:ascii="Times New Roman" w:hAnsi="Times New Roman" w:cs="Times New Roman"/>
          <w:b/>
          <w:sz w:val="22"/>
          <w:u w:val="single"/>
          <w:lang w:val="fr-FR"/>
        </w:rPr>
      </w:pPr>
      <w:r w:rsidRPr="00874348">
        <w:rPr>
          <w:rFonts w:ascii="Times New Roman" w:hAnsi="Times New Roman" w:cs="Times New Roman"/>
          <w:b/>
          <w:sz w:val="22"/>
          <w:u w:val="single"/>
          <w:lang w:val="fr-FR"/>
        </w:rPr>
        <w:lastRenderedPageBreak/>
        <w:t>ANNEXE : LISTE A</w:t>
      </w:r>
    </w:p>
    <w:p w:rsidR="00C54419" w:rsidRPr="00874348" w:rsidRDefault="00C54419" w:rsidP="00874348">
      <w:pPr>
        <w:ind w:right="-715"/>
        <w:jc w:val="center"/>
        <w:rPr>
          <w:rFonts w:ascii="Times New Roman" w:hAnsi="Times New Roman" w:cs="Times New Roman"/>
          <w:b/>
          <w:sz w:val="22"/>
          <w:u w:val="single"/>
          <w:lang w:val="fr-FR"/>
        </w:rPr>
      </w:pPr>
    </w:p>
    <w:p w:rsidR="00C54419" w:rsidRPr="00874348" w:rsidRDefault="00C54419" w:rsidP="00874348">
      <w:pPr>
        <w:ind w:right="-715"/>
        <w:jc w:val="center"/>
        <w:rPr>
          <w:rFonts w:asciiTheme="majorHAnsi" w:hAnsiTheme="majorHAnsi" w:cs="Times New Roman"/>
          <w:b/>
          <w:sz w:val="22"/>
          <w:u w:val="single"/>
          <w:lang w:val="fr-FR"/>
        </w:rPr>
      </w:pPr>
      <w:r w:rsidRPr="00874348">
        <w:rPr>
          <w:rFonts w:asciiTheme="majorHAnsi" w:hAnsiTheme="majorHAnsi" w:cs="Times New Roman"/>
          <w:b/>
          <w:sz w:val="22"/>
          <w:u w:val="single"/>
          <w:lang w:val="fr-FR"/>
        </w:rPr>
        <w:t>LES REQUÊTES</w:t>
      </w:r>
    </w:p>
    <w:p w:rsidR="00C54419" w:rsidRPr="00874348" w:rsidRDefault="00C54419" w:rsidP="00874348">
      <w:pPr>
        <w:ind w:right="-715"/>
        <w:jc w:val="center"/>
        <w:rPr>
          <w:rFonts w:asciiTheme="majorHAnsi" w:hAnsiTheme="majorHAnsi" w:cs="Times New Roman"/>
          <w:szCs w:val="24"/>
          <w:lang w:val="fr-FR"/>
        </w:rPr>
      </w:pPr>
    </w:p>
    <w:tbl>
      <w:tblPr>
        <w:tblStyle w:val="Grigliatabella"/>
        <w:tblW w:w="10065" w:type="dxa"/>
        <w:tblInd w:w="-885" w:type="dxa"/>
        <w:tblLook w:val="04A0" w:firstRow="1" w:lastRow="0" w:firstColumn="1" w:lastColumn="0" w:noHBand="0" w:noVBand="1"/>
      </w:tblPr>
      <w:tblGrid>
        <w:gridCol w:w="567"/>
        <w:gridCol w:w="6380"/>
        <w:gridCol w:w="3118"/>
      </w:tblGrid>
      <w:tr w:rsidR="00C54419" w:rsidRPr="00874348" w:rsidTr="00C54419">
        <w:tc>
          <w:tcPr>
            <w:tcW w:w="567" w:type="dxa"/>
          </w:tcPr>
          <w:p w:rsidR="00C54419" w:rsidRPr="00874348" w:rsidRDefault="00C54419" w:rsidP="00874348">
            <w:pPr>
              <w:ind w:right="-715"/>
              <w:jc w:val="left"/>
              <w:rPr>
                <w:rFonts w:asciiTheme="majorHAnsi" w:hAnsiTheme="majorHAnsi" w:cs="Times New Roman"/>
                <w:b/>
                <w:szCs w:val="24"/>
                <w:lang w:val="fr-FR"/>
              </w:rPr>
            </w:pPr>
            <w:r w:rsidRPr="00874348">
              <w:rPr>
                <w:rFonts w:asciiTheme="majorHAnsi" w:hAnsiTheme="majorHAnsi" w:cs="Times New Roman"/>
                <w:b/>
                <w:szCs w:val="24"/>
                <w:lang w:val="fr-FR"/>
              </w:rPr>
              <w:t>N</w:t>
            </w:r>
            <w:r w:rsidR="00385ABF" w:rsidRPr="00874348">
              <w:rPr>
                <w:rFonts w:asciiTheme="majorHAnsi" w:hAnsiTheme="majorHAnsi" w:cs="Times New Roman"/>
                <w:b/>
                <w:szCs w:val="24"/>
                <w:vertAlign w:val="superscript"/>
                <w:lang w:val="fr-FR"/>
              </w:rPr>
              <w:t>o</w:t>
            </w:r>
          </w:p>
        </w:tc>
        <w:tc>
          <w:tcPr>
            <w:tcW w:w="6380" w:type="dxa"/>
          </w:tcPr>
          <w:p w:rsidR="00C54419" w:rsidRPr="00874348" w:rsidRDefault="00C54419" w:rsidP="00874348">
            <w:pPr>
              <w:ind w:right="-715"/>
              <w:jc w:val="center"/>
              <w:rPr>
                <w:rFonts w:asciiTheme="majorHAnsi" w:hAnsiTheme="majorHAnsi" w:cs="Times New Roman"/>
                <w:b/>
                <w:szCs w:val="24"/>
                <w:lang w:val="fr-FR"/>
              </w:rPr>
            </w:pPr>
            <w:r w:rsidRPr="00874348">
              <w:rPr>
                <w:rFonts w:asciiTheme="majorHAnsi" w:hAnsiTheme="majorHAnsi" w:cs="Times New Roman"/>
                <w:b/>
                <w:szCs w:val="24"/>
                <w:lang w:val="fr-FR"/>
              </w:rPr>
              <w:t xml:space="preserve">Requête </w:t>
            </w:r>
          </w:p>
        </w:tc>
        <w:tc>
          <w:tcPr>
            <w:tcW w:w="3118" w:type="dxa"/>
          </w:tcPr>
          <w:p w:rsidR="00C54419" w:rsidRPr="00874348" w:rsidRDefault="00C54419" w:rsidP="00874348">
            <w:pPr>
              <w:ind w:right="-715"/>
              <w:jc w:val="left"/>
              <w:rPr>
                <w:rFonts w:asciiTheme="majorHAnsi" w:hAnsiTheme="majorHAnsi" w:cs="Times New Roman"/>
                <w:b/>
                <w:szCs w:val="24"/>
                <w:lang w:val="fr-FR"/>
              </w:rPr>
            </w:pPr>
            <w:r w:rsidRPr="00874348">
              <w:rPr>
                <w:rFonts w:asciiTheme="majorHAnsi" w:hAnsiTheme="majorHAnsi" w:cs="Times New Roman"/>
                <w:b/>
                <w:szCs w:val="24"/>
                <w:lang w:val="fr-FR"/>
              </w:rPr>
              <w:t>Représentant</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68060/12 D.A. et vingt-trois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w:t>
            </w:r>
            <w:r w:rsidRPr="00874348">
              <w:rPr>
                <w:rFonts w:asciiTheme="majorHAnsi" w:hAnsiTheme="majorHAnsi" w:cs="Times New Roman"/>
                <w:szCs w:val="24"/>
                <w:lang w:val="fr-FR"/>
              </w:rPr>
              <w:t xml:space="preserve"> Perrone</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2.</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16178/13 A.A. et soixante-dix-huit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 xml:space="preserve">e </w:t>
            </w:r>
            <w:r w:rsidRPr="00874348">
              <w:rPr>
                <w:rFonts w:asciiTheme="majorHAnsi" w:hAnsiTheme="majorHAnsi" w:cs="Times New Roman"/>
                <w:szCs w:val="24"/>
                <w:lang w:val="fr-FR"/>
              </w:rPr>
              <w:t>Dragone</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3.</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23130/13 C.A. et quarante-cinq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w:t>
            </w:r>
            <w:r w:rsidR="00385ABF" w:rsidRPr="00874348">
              <w:rPr>
                <w:rFonts w:asciiTheme="majorHAnsi" w:hAnsiTheme="majorHAnsi" w:cs="Times New Roman"/>
                <w:szCs w:val="24"/>
                <w:vertAlign w:val="superscript"/>
                <w:lang w:val="fr-FR"/>
              </w:rPr>
              <w:t xml:space="preserve"> </w:t>
            </w:r>
            <w:r w:rsidRPr="00874348">
              <w:rPr>
                <w:rFonts w:asciiTheme="majorHAnsi" w:hAnsiTheme="majorHAnsi" w:cs="Times New Roman"/>
                <w:szCs w:val="24"/>
                <w:lang w:val="fr-FR"/>
              </w:rPr>
              <w:t>De Lucchi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4.</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23149/13 N.D. et trois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w:t>
            </w:r>
            <w:r w:rsidRPr="00874348">
              <w:rPr>
                <w:rFonts w:asciiTheme="majorHAnsi" w:hAnsiTheme="majorHAnsi" w:cs="Times New Roman"/>
                <w:szCs w:val="24"/>
                <w:lang w:val="fr-FR"/>
              </w:rPr>
              <w:t xml:space="preserve"> D</w:t>
            </w:r>
            <w:r w:rsidR="00874348" w:rsidRPr="00874348">
              <w:rPr>
                <w:rFonts w:asciiTheme="majorHAnsi" w:hAnsiTheme="majorHAnsi" w:cs="Times New Roman"/>
                <w:szCs w:val="24"/>
                <w:lang w:val="fr-FR"/>
              </w:rPr>
              <w:t>’</w:t>
            </w:r>
            <w:r w:rsidRPr="00874348">
              <w:rPr>
                <w:rFonts w:asciiTheme="majorHAnsi" w:hAnsiTheme="majorHAnsi" w:cs="Times New Roman"/>
                <w:szCs w:val="24"/>
                <w:lang w:val="fr-FR"/>
              </w:rPr>
              <w:t>Angelo</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5.</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64572/13 G.A. et quarante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 xml:space="preserve">e </w:t>
            </w:r>
            <w:r w:rsidRPr="00874348">
              <w:rPr>
                <w:rFonts w:asciiTheme="majorHAnsi" w:hAnsiTheme="majorHAnsi" w:cs="Times New Roman"/>
                <w:szCs w:val="24"/>
                <w:lang w:val="fr-FR"/>
              </w:rPr>
              <w:t>Soragni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6.</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13662/13 V.C. et six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7.</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13837/13 D.C. et quatre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8.</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22933/13 V.C. et quatre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9.</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13668/13 G.A. et soixante-dix-sept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10.</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13657/13 M.A. et trente-huit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11.</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22918/13 M.C. et huit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12.</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22978/13 D.B.</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13.</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22985/13 M.G. et soixante-douze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14.</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22899/13 C.S. et cinq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15.</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9673/13 V.D.C. et deux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Scolamiero et Guadagni</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16.</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158/12 S.A. et quatre-vingt-seize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 xml:space="preserve">e </w:t>
            </w:r>
            <w:r w:rsidRPr="00874348">
              <w:rPr>
                <w:rFonts w:asciiTheme="majorHAnsi" w:hAnsiTheme="majorHAnsi" w:cs="Times New Roman"/>
                <w:szCs w:val="24"/>
                <w:lang w:val="fr-FR"/>
              </w:rPr>
              <w:t>Cappellaro</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17.</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3892/12 D.M.M. et sept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w:t>
            </w:r>
            <w:r w:rsidRPr="00874348">
              <w:rPr>
                <w:rFonts w:asciiTheme="majorHAnsi" w:hAnsiTheme="majorHAnsi" w:cs="Times New Roman"/>
                <w:szCs w:val="24"/>
                <w:lang w:val="fr-FR"/>
              </w:rPr>
              <w:t xml:space="preserve"> Perrone</w:t>
            </w:r>
          </w:p>
        </w:tc>
      </w:tr>
      <w:tr w:rsidR="00C54419" w:rsidRPr="00874348" w:rsidTr="00C54419">
        <w:tc>
          <w:tcPr>
            <w:tcW w:w="567"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18.</w:t>
            </w:r>
          </w:p>
        </w:tc>
        <w:tc>
          <w:tcPr>
            <w:tcW w:w="6380"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8154/12 S.A. et trois-cent-cinq autres requérants</w:t>
            </w:r>
          </w:p>
          <w:p w:rsidR="00C54419" w:rsidRPr="00874348" w:rsidRDefault="00C54419" w:rsidP="00874348">
            <w:pPr>
              <w:ind w:right="-715"/>
              <w:jc w:val="left"/>
              <w:rPr>
                <w:rFonts w:asciiTheme="majorHAnsi" w:hAnsiTheme="majorHAnsi" w:cs="Times New Roman"/>
                <w:szCs w:val="24"/>
                <w:lang w:val="fr-FR"/>
              </w:rPr>
            </w:pPr>
          </w:p>
        </w:tc>
        <w:tc>
          <w:tcPr>
            <w:tcW w:w="3118" w:type="dxa"/>
          </w:tcPr>
          <w:p w:rsidR="00C54419" w:rsidRPr="00874348" w:rsidRDefault="00C54419" w:rsidP="00874348">
            <w:pPr>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Lana et Saccucci</w:t>
            </w:r>
          </w:p>
        </w:tc>
      </w:tr>
      <w:tr w:rsidR="00C54419" w:rsidRPr="00874348" w:rsidTr="00C54419">
        <w:trPr>
          <w:trHeight w:val="70"/>
        </w:trPr>
        <w:tc>
          <w:tcPr>
            <w:tcW w:w="567" w:type="dxa"/>
          </w:tcPr>
          <w:p w:rsidR="00C54419" w:rsidRPr="00874348" w:rsidRDefault="00C54419" w:rsidP="00874348">
            <w:pPr>
              <w:keepNext/>
              <w:keepLines/>
              <w:ind w:right="-715"/>
              <w:jc w:val="left"/>
              <w:rPr>
                <w:rFonts w:asciiTheme="majorHAnsi" w:hAnsiTheme="majorHAnsi" w:cs="Times New Roman"/>
                <w:szCs w:val="24"/>
                <w:lang w:val="fr-FR"/>
              </w:rPr>
            </w:pPr>
            <w:r w:rsidRPr="00874348">
              <w:rPr>
                <w:rFonts w:asciiTheme="majorHAnsi" w:hAnsiTheme="majorHAnsi" w:cs="Times New Roman"/>
                <w:szCs w:val="24"/>
                <w:lang w:val="fr-FR"/>
              </w:rPr>
              <w:t>19.</w:t>
            </w:r>
          </w:p>
        </w:tc>
        <w:tc>
          <w:tcPr>
            <w:tcW w:w="6380" w:type="dxa"/>
          </w:tcPr>
          <w:p w:rsidR="00C54419" w:rsidRPr="00874348" w:rsidRDefault="00C54419" w:rsidP="00874348">
            <w:pPr>
              <w:keepNext/>
              <w:keepLines/>
              <w:ind w:right="-715"/>
              <w:jc w:val="left"/>
              <w:rPr>
                <w:rFonts w:asciiTheme="majorHAnsi" w:hAnsiTheme="majorHAnsi" w:cs="Times New Roman"/>
                <w:szCs w:val="24"/>
                <w:lang w:val="fr-FR"/>
              </w:rPr>
            </w:pPr>
            <w:r w:rsidRPr="00874348">
              <w:rPr>
                <w:rFonts w:asciiTheme="majorHAnsi" w:hAnsiTheme="majorHAnsi" w:cs="Times New Roman"/>
                <w:szCs w:val="24"/>
                <w:lang w:val="fr-FR"/>
              </w:rPr>
              <w:t>Requête n</w:t>
            </w:r>
            <w:r w:rsidR="00385ABF" w:rsidRPr="00874348">
              <w:rPr>
                <w:rFonts w:asciiTheme="majorHAnsi" w:hAnsiTheme="majorHAnsi" w:cs="Times New Roman"/>
                <w:szCs w:val="24"/>
                <w:vertAlign w:val="superscript"/>
                <w:lang w:val="fr-FR"/>
              </w:rPr>
              <w:t>o</w:t>
            </w:r>
            <w:r w:rsidRPr="00874348">
              <w:rPr>
                <w:rFonts w:asciiTheme="majorHAnsi" w:hAnsiTheme="majorHAnsi" w:cs="Times New Roman"/>
                <w:szCs w:val="24"/>
                <w:lang w:val="fr-FR"/>
              </w:rPr>
              <w:t xml:space="preserve"> 41143/12 M.A. et cinquante-sept autres requérants</w:t>
            </w:r>
          </w:p>
          <w:p w:rsidR="00C54419" w:rsidRPr="00874348" w:rsidRDefault="00C54419" w:rsidP="00874348">
            <w:pPr>
              <w:keepNext/>
              <w:keepLines/>
              <w:ind w:right="-715"/>
              <w:jc w:val="left"/>
              <w:rPr>
                <w:rFonts w:asciiTheme="majorHAnsi" w:hAnsiTheme="majorHAnsi" w:cs="Times New Roman"/>
                <w:szCs w:val="24"/>
                <w:lang w:val="fr-FR"/>
              </w:rPr>
            </w:pPr>
          </w:p>
        </w:tc>
        <w:tc>
          <w:tcPr>
            <w:tcW w:w="3118" w:type="dxa"/>
          </w:tcPr>
          <w:p w:rsidR="00C54419" w:rsidRPr="00874348" w:rsidRDefault="00C54419" w:rsidP="00874348">
            <w:pPr>
              <w:keepNext/>
              <w:keepLines/>
              <w:ind w:right="-715"/>
              <w:jc w:val="left"/>
              <w:rPr>
                <w:rFonts w:asciiTheme="majorHAnsi" w:hAnsiTheme="majorHAnsi" w:cs="Times New Roman"/>
                <w:szCs w:val="24"/>
                <w:lang w:val="fr-FR"/>
              </w:rPr>
            </w:pPr>
            <w:r w:rsidRPr="00874348">
              <w:rPr>
                <w:rFonts w:asciiTheme="majorHAnsi" w:hAnsiTheme="majorHAnsi" w:cs="Times New Roman"/>
                <w:szCs w:val="24"/>
                <w:lang w:val="fr-FR"/>
              </w:rPr>
              <w:t>M</w:t>
            </w:r>
            <w:r w:rsidRPr="00874348">
              <w:rPr>
                <w:rFonts w:asciiTheme="majorHAnsi" w:hAnsiTheme="majorHAnsi" w:cs="Times New Roman"/>
                <w:szCs w:val="24"/>
                <w:vertAlign w:val="superscript"/>
                <w:lang w:val="fr-FR"/>
              </w:rPr>
              <w:t>es </w:t>
            </w:r>
            <w:r w:rsidRPr="00874348">
              <w:rPr>
                <w:rFonts w:asciiTheme="majorHAnsi" w:hAnsiTheme="majorHAnsi" w:cs="Times New Roman"/>
                <w:szCs w:val="24"/>
                <w:lang w:val="fr-FR"/>
              </w:rPr>
              <w:t>Lana et Saccucci</w:t>
            </w:r>
          </w:p>
        </w:tc>
      </w:tr>
    </w:tbl>
    <w:p w:rsidR="0077568A" w:rsidRPr="00874348" w:rsidRDefault="0077568A" w:rsidP="00874348">
      <w:pPr>
        <w:rPr>
          <w:rFonts w:asciiTheme="majorHAnsi" w:hAnsiTheme="majorHAnsi" w:cs="Times New Roman"/>
          <w:szCs w:val="24"/>
          <w:lang w:val="fr-FR"/>
        </w:rPr>
        <w:sectPr w:rsidR="0077568A" w:rsidRPr="00874348" w:rsidSect="00C54419">
          <w:headerReference w:type="even" r:id="rId49"/>
          <w:headerReference w:type="default" r:id="rId50"/>
          <w:footerReference w:type="default" r:id="rId51"/>
          <w:type w:val="continuous"/>
          <w:pgSz w:w="11906" w:h="16838" w:code="9"/>
          <w:pgMar w:top="2274" w:right="2274" w:bottom="2274" w:left="2274" w:header="1701" w:footer="720" w:gutter="0"/>
          <w:pgNumType w:start="1"/>
          <w:cols w:space="720"/>
          <w:docGrid w:linePitch="326"/>
        </w:sectPr>
      </w:pPr>
    </w:p>
    <w:p w:rsidR="007B2095" w:rsidRPr="00874348" w:rsidRDefault="007B2095" w:rsidP="00874348">
      <w:pPr>
        <w:ind w:left="-1077" w:right="-715"/>
        <w:jc w:val="center"/>
        <w:rPr>
          <w:rFonts w:ascii="Times New Roman" w:eastAsia="Times New Roman" w:hAnsi="Times New Roman" w:cs="Times New Roman"/>
          <w:b/>
          <w:szCs w:val="24"/>
          <w:u w:val="single"/>
          <w:lang w:val="fr-FR"/>
        </w:rPr>
      </w:pPr>
      <w:r w:rsidRPr="00874348">
        <w:rPr>
          <w:rFonts w:ascii="Times New Roman" w:eastAsia="Times New Roman" w:hAnsi="Times New Roman" w:cs="Times New Roman"/>
          <w:b/>
          <w:szCs w:val="24"/>
          <w:u w:val="single"/>
          <w:lang w:val="fr-FR"/>
        </w:rPr>
        <w:lastRenderedPageBreak/>
        <w:t>ANNEXE : LISTE B</w:t>
      </w:r>
    </w:p>
    <w:p w:rsidR="007B2095" w:rsidRPr="00874348" w:rsidRDefault="007B2095" w:rsidP="00874348">
      <w:pPr>
        <w:ind w:left="-567" w:right="-715"/>
        <w:jc w:val="center"/>
        <w:rPr>
          <w:rFonts w:ascii="Times New Roman" w:eastAsia="Times New Roman" w:hAnsi="Times New Roman" w:cs="Times New Roman"/>
          <w:szCs w:val="24"/>
          <w:lang w:val="fr-FR"/>
        </w:rPr>
      </w:pPr>
      <w:r w:rsidRPr="00874348">
        <w:rPr>
          <w:rFonts w:ascii="Times New Roman" w:eastAsia="Times New Roman" w:hAnsi="Times New Roman" w:cs="Times New Roman"/>
          <w:szCs w:val="24"/>
          <w:lang w:val="fr-FR"/>
        </w:rPr>
        <w:t>(L</w:t>
      </w:r>
      <w:r w:rsidR="00874348" w:rsidRPr="00874348">
        <w:rPr>
          <w:rFonts w:ascii="Times New Roman" w:eastAsia="Times New Roman" w:hAnsi="Times New Roman" w:cs="Times New Roman"/>
          <w:szCs w:val="24"/>
          <w:lang w:val="fr-FR"/>
        </w:rPr>
        <w:t>’</w:t>
      </w:r>
      <w:r w:rsidRPr="00874348">
        <w:rPr>
          <w:rFonts w:ascii="Times New Roman" w:eastAsia="Times New Roman" w:hAnsi="Times New Roman" w:cs="Times New Roman"/>
          <w:szCs w:val="24"/>
          <w:lang w:val="fr-FR"/>
        </w:rPr>
        <w:t>anonymat ayant été accordé aux requérants, leur</w:t>
      </w:r>
      <w:r w:rsidR="00244AF7" w:rsidRPr="00874348">
        <w:rPr>
          <w:rFonts w:ascii="Times New Roman" w:eastAsia="Times New Roman" w:hAnsi="Times New Roman" w:cs="Times New Roman"/>
          <w:szCs w:val="24"/>
          <w:lang w:val="fr-FR"/>
        </w:rPr>
        <w:t>s</w:t>
      </w:r>
      <w:r w:rsidRPr="00874348">
        <w:rPr>
          <w:rFonts w:ascii="Times New Roman" w:eastAsia="Times New Roman" w:hAnsi="Times New Roman" w:cs="Times New Roman"/>
          <w:szCs w:val="24"/>
          <w:lang w:val="fr-FR"/>
        </w:rPr>
        <w:t xml:space="preserve"> noms ne figurent pas dans cette liste)</w:t>
      </w:r>
    </w:p>
    <w:p w:rsidR="007B2095" w:rsidRPr="00874348" w:rsidRDefault="007B2095" w:rsidP="00874348">
      <w:pPr>
        <w:ind w:left="-567" w:right="-715"/>
        <w:jc w:val="center"/>
        <w:rPr>
          <w:rFonts w:ascii="Times New Roman" w:eastAsia="Times New Roman" w:hAnsi="Times New Roman" w:cs="Times New Roman"/>
          <w:szCs w:val="24"/>
          <w:lang w:val="fr-FR"/>
        </w:rPr>
      </w:pPr>
    </w:p>
    <w:p w:rsidR="007B2095" w:rsidRPr="00874348" w:rsidRDefault="007B2095" w:rsidP="00874348">
      <w:pPr>
        <w:ind w:left="-567" w:right="-715"/>
        <w:rPr>
          <w:rFonts w:ascii="Times New Roman" w:eastAsia="Times New Roman" w:hAnsi="Times New Roman" w:cs="Times New Roman"/>
          <w:b/>
          <w:sz w:val="16"/>
          <w:szCs w:val="16"/>
          <w:u w:val="single"/>
          <w:lang w:val="fr-FR"/>
        </w:rPr>
      </w:pPr>
    </w:p>
    <w:p w:rsidR="007B2095" w:rsidRPr="00874348" w:rsidRDefault="007B2095" w:rsidP="00874348">
      <w:pPr>
        <w:ind w:left="-567" w:right="-715"/>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68060/12 D.A. et vingt-trois autres requérants</w:t>
      </w:r>
    </w:p>
    <w:p w:rsidR="007B2095" w:rsidRPr="00874348" w:rsidRDefault="007B2095" w:rsidP="00874348">
      <w:pPr>
        <w:ind w:left="-567" w:right="-715"/>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cette requête le 17/10/2012. Ils sont représentés devant la Cour par M</w:t>
      </w:r>
      <w:r w:rsidRPr="00874348">
        <w:rPr>
          <w:rFonts w:ascii="Times New Roman" w:eastAsia="Times New Roman" w:hAnsi="Times New Roman" w:cs="Times New Roman"/>
          <w:sz w:val="16"/>
          <w:szCs w:val="16"/>
          <w:vertAlign w:val="superscript"/>
          <w:lang w:val="fr-FR"/>
        </w:rPr>
        <w:t>e</w:t>
      </w:r>
      <w:r w:rsidRPr="00874348">
        <w:rPr>
          <w:rFonts w:ascii="Times New Roman" w:eastAsia="Times New Roman" w:hAnsi="Times New Roman" w:cs="Times New Roman"/>
          <w:sz w:val="16"/>
          <w:szCs w:val="16"/>
          <w:lang w:val="fr-FR"/>
        </w:rPr>
        <w:t xml:space="preserve"> Paola PERRONE, avocat à Lecce.</w:t>
      </w:r>
    </w:p>
    <w:p w:rsidR="007B2095" w:rsidRPr="00874348" w:rsidRDefault="007B2095" w:rsidP="00874348">
      <w:pPr>
        <w:rPr>
          <w:rFonts w:ascii="Times New Roman" w:eastAsia="Times New Roman" w:hAnsi="Times New Roman" w:cs="Times New Roman"/>
          <w:sz w:val="16"/>
          <w:szCs w:val="16"/>
          <w:lang w:val="fr-FR"/>
        </w:rPr>
      </w:pPr>
    </w:p>
    <w:tbl>
      <w:tblPr>
        <w:tblStyle w:val="ECHRListTable1"/>
        <w:tblW w:w="5213" w:type="pct"/>
        <w:tblInd w:w="-885" w:type="dxa"/>
        <w:tblLook w:val="05E0" w:firstRow="1" w:lastRow="1" w:firstColumn="1" w:lastColumn="1" w:noHBand="0" w:noVBand="1"/>
      </w:tblPr>
      <w:tblGrid>
        <w:gridCol w:w="613"/>
        <w:gridCol w:w="1239"/>
        <w:gridCol w:w="1116"/>
        <w:gridCol w:w="2237"/>
        <w:gridCol w:w="1742"/>
        <w:gridCol w:w="1364"/>
        <w:gridCol w:w="3116"/>
        <w:gridCol w:w="1612"/>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35"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Étapes de la procédure interne </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de la procédure (environ)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p w:rsidR="007B2095" w:rsidRPr="00874348" w:rsidRDefault="007B2095" w:rsidP="00874348">
            <w:pPr>
              <w:jc w:val="left"/>
              <w:rPr>
                <w:rFonts w:ascii="Times New Roman" w:eastAsia="Times New Roman" w:hAnsi="Times New Roman" w:cs="Times New Roman"/>
                <w:sz w:val="16"/>
                <w:szCs w:val="16"/>
                <w:lang w:val="fr-FR"/>
              </w:rPr>
            </w:pP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19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jc w:val="left"/>
              <w:rPr>
                <w:rFonts w:ascii="Times New Roman" w:eastAsia="Times New Roman" w:hAnsi="Times New Roman" w:cs="Times New Roman"/>
                <w:sz w:val="16"/>
                <w:szCs w:val="16"/>
                <w:lang w:val="fr-FR"/>
              </w:rPr>
            </w:pP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21/03/1971</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Lequile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20/12/2001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Tribunal de Lecce rejet 18/05/09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13/07/2009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Arrêt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déposé le 29/11/2012</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67 139,40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33 569,70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10 370,35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29/06/1983</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Nardo</w:t>
            </w:r>
            <w:r w:rsidR="00874348" w:rsidRPr="00874348">
              <w:rPr>
                <w:rFonts w:ascii="Times New Roman" w:eastAsia="Times New Roman" w:hAnsi="Times New Roman" w:cs="Times New Roman"/>
                <w:sz w:val="16"/>
                <w:szCs w:val="16"/>
              </w:rPr>
              <w:t>’</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26/10/2001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 à la date de dépôt des observations : 26/8/2014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:12 ans et dix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moral et frais et dépens : la requérante se remet à la Cour pour la quantification des dommages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elle estime avoir subi ainsi que pour les frais et dépens encourus devant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24/01/1969</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Specchia</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10/2/2003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01/10/2008</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03/04/09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11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57 102,06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28 551,03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5 228,117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p w:rsidR="007B2095" w:rsidRPr="00874348" w:rsidRDefault="007B2095" w:rsidP="00874348">
            <w:pPr>
              <w:jc w:val="left"/>
              <w:rPr>
                <w:rFonts w:ascii="Times New Roman" w:eastAsia="Times New Roman" w:hAnsi="Times New Roman" w:cs="Times New Roman"/>
                <w:sz w:val="16"/>
                <w:szCs w:val="16"/>
                <w:lang w:val="fr-FR"/>
              </w:rPr>
            </w:pP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7B2095">
        <w:trPr>
          <w:cantSplit/>
        </w:trPr>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25/08/1975</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Ugento</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03/01/2003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de Lecce 2/2/09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3/04/09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11 ans et 7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6 597,79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16/07/1970</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Lecce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30/04/2004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de Lecce 20/2/08</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24/05/2008</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Arrêt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signifié le 24/4/2012</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290 000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145 000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10 799,57 EUR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0E3E96">
        <w:trPr>
          <w:cantSplit/>
        </w:trPr>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23/03/1970</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Lecce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09/07/2007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de Lecce 12/01/2012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24/02/2012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137 007,33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68 503,66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4 599,447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17/02/1977</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Sanarica</w:t>
            </w:r>
          </w:p>
        </w:tc>
        <w:tc>
          <w:tcPr>
            <w:tcW w:w="85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14/02/2002</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Lecce 06/05/2010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26/05/2010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92 502,85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46 251,43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4 825,817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03/11/1971</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Sanarica</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14/02/2002</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Lecce 6/5/2010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26/05/2010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66 686,11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32 843,05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4 825,81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01/01/1972</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Miggiano</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12/05/2003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Lecce 25/03/2009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Lecce confirme 20/02/2012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Pourvoi en cassation</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26/06/2012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11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3</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57 102,06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28 551,03 EUR</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9 110,77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26/04/1978</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Lecce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16/11/02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Lecce 27/01/2006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26/05/2006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Arrêt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confirmant le rejet 22/06/2009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Recours en cassation 009/11/2009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11 ans et 9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3</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133 333,33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66 666,66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2 844,17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0E3E96">
        <w:trPr>
          <w:cantSplit/>
        </w:trPr>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19/12/1968</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Copertino</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13/10/2004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pour prescription 06/05/10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16/06/10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143 000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71 500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5 138,60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20 000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01/04/1957</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Campi Salentina</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11/02/2002</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pour prescription 21/1/2009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20/04/2009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203 399,61 EUR (pour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infection) plus 75 330, 40 (pour la perte de chances)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101 699,80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9 468,21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27/02/1976</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Trepuzzi (Lecce)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Introduction0 5/06/2002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pour prescription 7/10/2010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13/12/2010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:12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90 513,55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45 256,77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4 327,17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13/11/1966</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Veglie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05/04/2002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pour prescription 27/02/2008</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23/07/2008</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appel de Lecce confirme le rejet par un arrêt déposé le 20/02/2012 </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Irrecevable</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13/06/1969</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Nardò</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demande03/12/2002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Arrêt de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Lecce confirmant le rejet  08/07/2014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11 ans et 7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40 035,74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8 516,00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appel de Lecce : 4 961,00 EUR. La requérante produit également les factures concernant les autres phases de la procédure interne </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04/01/1969</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Donato di Lecce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27/05/2002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de Lecce 1/10/2008</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26/01/2009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87 529,58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43 764,79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5 077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04/02/1981</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Nardò</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10/01/2003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Lecce0 2/09/2010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18/10/2010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Arrêt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déposé le 20/11/2013</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:10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60 125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:9 423,24 EUR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10/02/1961</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Taviano</w:t>
            </w:r>
          </w:p>
        </w:tc>
        <w:tc>
          <w:tcPr>
            <w:tcW w:w="858"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15/07/2002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84 545,62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42 272,81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3 577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7B2095">
        <w:trPr>
          <w:cantSplit/>
        </w:trPr>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09/09/1967</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Trepuzzi</w:t>
            </w:r>
          </w:p>
        </w:tc>
        <w:tc>
          <w:tcPr>
            <w:tcW w:w="858"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procédure civile 19/02/2002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87 032,26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43 516,13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2 575,81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18/05/1974</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Surbo</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24/02/2003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de Lecce 18/5/2010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25/6/2010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11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190 000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95 000 EUR (pour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infection subi par la victime même) plus 65 000 EUR (pour la requérante en tant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héritière)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3 735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17/12/1975</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Acquarica di Lecce</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11/07/2006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Lecce 18/5/2010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03/06/2010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70 000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10 047,40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20 000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08/05/1985</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Copertino</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08/01/2004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tribunal Lecce 27/10/2011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28/11/2011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26/08/2014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7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81 397,74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40 698,87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encourus</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 5 530,82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22/04/1965</w:t>
            </w:r>
          </w:p>
        </w:tc>
        <w:tc>
          <w:tcPr>
            <w:tcW w:w="42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Miggiano</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18/06/2003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16/02/2009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30/06/2009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Arrêt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appel déposé le 26/11/2012 </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25 500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 devant la Cour : 10 867,57 EUR Conjointement avec </w:t>
            </w:r>
            <w:r w:rsidR="00261C02"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Calibri" w:hAnsi="Times New Roman" w:cs="Times New Roman"/>
                <w:sz w:val="16"/>
                <w:szCs w:val="16"/>
                <w:lang w:val="fr-FR"/>
              </w:rPr>
            </w:pPr>
            <w:r w:rsidRPr="00874348">
              <w:rPr>
                <w:rFonts w:ascii="Times New Roman" w:eastAsia="Calibri"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2 héritiers)</w:t>
            </w:r>
          </w:p>
        </w:tc>
      </w:tr>
      <w:tr w:rsidR="007B2095" w:rsidRPr="00874348" w:rsidTr="000E3E96">
        <w:tc>
          <w:tcPr>
            <w:tcW w:w="235" w:type="pct"/>
          </w:tcPr>
          <w:p w:rsidR="007B2095" w:rsidRPr="00874348" w:rsidRDefault="007B2095" w:rsidP="00874348">
            <w:pPr>
              <w:numPr>
                <w:ilvl w:val="0"/>
                <w:numId w:val="10"/>
              </w:numPr>
              <w:contextualSpacing/>
              <w:jc w:val="left"/>
              <w:rPr>
                <w:rFonts w:ascii="Times New Roman" w:eastAsia="Times New Roman" w:hAnsi="Times New Roman" w:cs="Times New Roman"/>
                <w:b/>
                <w:sz w:val="16"/>
                <w:szCs w:val="16"/>
                <w:lang w:val="fr-FR"/>
              </w:rPr>
            </w:pPr>
          </w:p>
        </w:tc>
        <w:tc>
          <w:tcPr>
            <w:tcW w:w="47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06/11/1966</w:t>
            </w:r>
          </w:p>
        </w:tc>
        <w:tc>
          <w:tcPr>
            <w:tcW w:w="42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Miggiano</w:t>
            </w:r>
          </w:p>
        </w:tc>
        <w:tc>
          <w:tcPr>
            <w:tcW w:w="8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18/06/2003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16/02/2009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30/06/2009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Arrêt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déposé le 26/11/2012</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9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25 500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 devant la Cour : 10 867,57 EUR Conjointement avec </w:t>
            </w:r>
            <w:r w:rsidR="00261C02"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se remet à la Cour</w:t>
            </w:r>
          </w:p>
        </w:tc>
        <w:tc>
          <w:tcPr>
            <w:tcW w:w="619" w:type="pct"/>
          </w:tcPr>
          <w:p w:rsidR="007B2095" w:rsidRPr="00874348" w:rsidRDefault="007B2095" w:rsidP="00874348">
            <w:pPr>
              <w:jc w:val="left"/>
              <w:rPr>
                <w:rFonts w:ascii="Times New Roman" w:eastAsia="Calibri" w:hAnsi="Times New Roman" w:cs="Times New Roman"/>
                <w:sz w:val="16"/>
                <w:szCs w:val="16"/>
                <w:lang w:val="fr-FR"/>
              </w:rPr>
            </w:pPr>
            <w:r w:rsidRPr="00874348">
              <w:rPr>
                <w:rFonts w:ascii="Times New Roman" w:eastAsia="Calibri"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2 héritiers)</w:t>
            </w:r>
          </w:p>
        </w:tc>
      </w:tr>
    </w:tbl>
    <w:p w:rsidR="007B2095" w:rsidRPr="00874348" w:rsidRDefault="007B2095" w:rsidP="00874348">
      <w:pPr>
        <w:ind w:left="-567" w:right="-715"/>
        <w:rPr>
          <w:rFonts w:ascii="Times New Roman" w:eastAsia="Times New Roman" w:hAnsi="Times New Roman" w:cs="Times New Roman"/>
          <w:b/>
          <w:sz w:val="16"/>
          <w:szCs w:val="16"/>
          <w:u w:val="single"/>
          <w:lang w:val="fr-FR"/>
        </w:rPr>
      </w:pPr>
    </w:p>
    <w:p w:rsidR="007B2095" w:rsidRPr="00874348" w:rsidRDefault="007B2095" w:rsidP="00874348">
      <w:pPr>
        <w:keepNext/>
        <w:keepLines/>
        <w:ind w:left="-567" w:right="-715"/>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lastRenderedPageBreak/>
        <w:t>2.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16178/13 A.A. et soixante-dix-huit autres requérants</w:t>
      </w:r>
    </w:p>
    <w:p w:rsidR="007B2095" w:rsidRPr="00874348" w:rsidRDefault="007B2095" w:rsidP="00874348">
      <w:pPr>
        <w:keepNext/>
        <w:keepLines/>
        <w:ind w:left="-567" w:right="-715"/>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10/01/2013. Ils sont représentés devant la Cour par M</w:t>
      </w:r>
      <w:r w:rsidRPr="00874348">
        <w:rPr>
          <w:rFonts w:ascii="Times New Roman" w:eastAsia="Times New Roman" w:hAnsi="Times New Roman" w:cs="Times New Roman"/>
          <w:sz w:val="16"/>
          <w:szCs w:val="16"/>
          <w:vertAlign w:val="superscript"/>
          <w:lang w:val="fr-FR"/>
        </w:rPr>
        <w:t>e</w:t>
      </w:r>
      <w:r w:rsidRPr="00874348">
        <w:rPr>
          <w:rFonts w:ascii="Times New Roman" w:eastAsia="Times New Roman" w:hAnsi="Times New Roman" w:cs="Times New Roman"/>
          <w:sz w:val="16"/>
          <w:szCs w:val="16"/>
          <w:lang w:val="fr-FR"/>
        </w:rPr>
        <w:t xml:space="preserve"> Massimo DRAGONE, avocat à Venise.</w:t>
      </w:r>
    </w:p>
    <w:p w:rsidR="007B2095" w:rsidRPr="00874348" w:rsidRDefault="007B2095" w:rsidP="00874348">
      <w:pPr>
        <w:keepNext/>
        <w:keepLines/>
        <w:rPr>
          <w:rFonts w:ascii="Times New Roman" w:eastAsia="Times New Roman" w:hAnsi="Times New Roman" w:cs="Times New Roman"/>
          <w:sz w:val="16"/>
          <w:szCs w:val="16"/>
          <w:lang w:val="fr-FR"/>
        </w:rPr>
      </w:pPr>
    </w:p>
    <w:tbl>
      <w:tblPr>
        <w:tblStyle w:val="ECHRListTable1"/>
        <w:tblW w:w="5199" w:type="pct"/>
        <w:tblInd w:w="-885" w:type="dxa"/>
        <w:tblLayout w:type="fixed"/>
        <w:tblLook w:val="05E0" w:firstRow="1" w:lastRow="1" w:firstColumn="1" w:lastColumn="1" w:noHBand="0" w:noVBand="1"/>
      </w:tblPr>
      <w:tblGrid>
        <w:gridCol w:w="625"/>
        <w:gridCol w:w="1125"/>
        <w:gridCol w:w="876"/>
        <w:gridCol w:w="2250"/>
        <w:gridCol w:w="1124"/>
        <w:gridCol w:w="1376"/>
        <w:gridCol w:w="4005"/>
        <w:gridCol w:w="1623"/>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40"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432"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37"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865"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432" w:type="pct"/>
          </w:tcPr>
          <w:p w:rsidR="00385ABF"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de la procédure (environ)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tc>
        <w:tc>
          <w:tcPr>
            <w:tcW w:w="529"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540" w:type="pct"/>
          </w:tcPr>
          <w:p w:rsidR="00385ABF"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Deux montants ont été indiqués pour le dommage matériel : le premier chiffre se réfère au montant auquel les requérants auraient droit « au sens du décret du 4 mai 2012 » et, le deuxième au montant prétendument reconnus dans des situations similaires (règlements amiables de 2003).</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demandent le deuxième montant en priorité et, en alternative, le premier.</w:t>
            </w:r>
          </w:p>
        </w:tc>
        <w:tc>
          <w:tcPr>
            <w:tcW w:w="624"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rPr>
          <w:cantSplit/>
        </w:trPr>
        <w:tc>
          <w:tcPr>
            <w:tcW w:w="240" w:type="pct"/>
          </w:tcPr>
          <w:p w:rsidR="007B2095" w:rsidRPr="00874348" w:rsidRDefault="007B2095" w:rsidP="00874348">
            <w:pPr>
              <w:keepNext/>
              <w:keepLines/>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04/12/1970</w:t>
            </w:r>
          </w:p>
        </w:tc>
        <w:tc>
          <w:tcPr>
            <w:tcW w:w="337"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Jesolo Lido (Venise)</w:t>
            </w:r>
          </w:p>
        </w:tc>
        <w:tc>
          <w:tcPr>
            <w:tcW w:w="865"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12/09/2003</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dix mois</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 même montant concernant</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les règlements amiables 2003</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13/06/1959</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41 089,31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1 027,23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13/10/1961</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E56F40"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w:t>
            </w:r>
            <w:r w:rsidR="007B2095" w:rsidRPr="00874348">
              <w:rPr>
                <w:rFonts w:ascii="Times New Roman" w:eastAsia="Times New Roman" w:hAnsi="Times New Roman" w:cs="Times New Roman"/>
                <w:sz w:val="16"/>
                <w:szCs w:val="16"/>
                <w:lang w:val="fr-FR"/>
              </w:rPr>
              <w:t>41 089,31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1 027,23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13/06/1947</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Lido di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02/10/1940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09/09/1951</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Chirignago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14/06/2000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Pourvoi en cassation 2/04/2013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14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3</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41 089,31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1 027,23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14/07/1931</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Décédée le 8/6/2015</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Rovigo</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2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27/07/1945</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Zero Branco (Trévise)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28/07/1962</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04/06/2004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41 089,31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1 027,23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08/05/1952</w:t>
            </w:r>
          </w:p>
        </w:tc>
        <w:tc>
          <w:tcPr>
            <w:tcW w:w="337"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Noventa di Piave (</w:t>
            </w:r>
            <w:r w:rsidRPr="00874348">
              <w:rPr>
                <w:rFonts w:ascii="Times New Roman" w:eastAsia="Times New Roman" w:hAnsi="Times New Roman" w:cs="Times New Roman"/>
                <w:sz w:val="16"/>
                <w:szCs w:val="16"/>
              </w:rPr>
              <w:t>Venise</w:t>
            </w:r>
            <w:r w:rsidRPr="00874348">
              <w:rPr>
                <w:rFonts w:ascii="Times New Roman" w:eastAsia="Times New Roman" w:hAnsi="Times New Roman" w:cs="Times New Roman"/>
                <w:sz w:val="16"/>
                <w:szCs w:val="16"/>
                <w:lang w:val="it-IT"/>
              </w:rPr>
              <w:t>)</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14/5/2002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47 423,58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1 185,59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24/05/1951</w:t>
            </w:r>
          </w:p>
        </w:tc>
        <w:tc>
          <w:tcPr>
            <w:tcW w:w="337"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Giovanni Lupatoto (Vérone)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01/03/1999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15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02/09/1935</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14/05/2002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68 299,57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1 707,49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20/02/1934</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Marghera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20/08/1975</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18/06/1930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26/05/1942</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18/02/1957</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Murano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15/10/1943</w:t>
            </w:r>
          </w:p>
        </w:tc>
        <w:tc>
          <w:tcPr>
            <w:tcW w:w="337"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Valeggio sul Mincio (Vérone)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14/03/1979</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27/10/1939</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Fosso</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 xml:space="preserv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4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13/08/1965</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Olmo di Martellago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41 089,31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1 027,23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20/04/1942</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Ponte San Nicolo</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 xml:space="preserve"> (Padoue)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24/10/1951</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Chioggia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14/05/2002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47 423,58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1 185,59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12/02/1949</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14/01/1930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23/12/1938</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Domegge di Cadore (Belluno)</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68 299,57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1 707,49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28/03/1937</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Marghera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68 299,57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1 707,49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30/10/1946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12/08/1958</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06/04/2005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4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41 089,31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1 027,23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01/02/1955</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18/06/2007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du tribunal de Venise déposé le 4/10/2012</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5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464 811,21 (ou même chiffre au titre des règlements amiables 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26/06/1930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Jesolo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25/06/1959</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Rovigo</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14/05/2002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49 919,56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1 247,99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20/01/1950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Trevise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25/06/1946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Vérone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14/05/1936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Favaro Veneto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12/12/1944</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Marghera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30/12/1960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Marghera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41 089,31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1 027,23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19/07/1956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Maser (Trévise)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22/06/2007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11/05/1946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Mira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14/05/2002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47 423,58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1 185,59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28/10/1942</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07/05/1982</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 xml:space="preserve"> Emo - Adria (Rovigo)</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 (ou même chiffre au titre des règlements amiables 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22/05/1954</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25/09/1964</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Cavallino Treporti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12/08/2002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cassation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3</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41 089,31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1 027,23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13/10/1953</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Cona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34 925,91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873,15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08/11/1944</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Marghera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27 940,73 EUR ou 388 165,52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698,52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06/08/1946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Padoue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17/02/1963</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Il agit uniquement en qualité de tuteur (</w:t>
            </w:r>
            <w:r w:rsidRPr="00874348">
              <w:rPr>
                <w:rFonts w:ascii="Times New Roman" w:eastAsia="Times New Roman" w:hAnsi="Times New Roman" w:cs="Times New Roman"/>
                <w:i/>
                <w:sz w:val="16"/>
                <w:szCs w:val="16"/>
                <w:lang w:val="fr-FR"/>
              </w:rPr>
              <w:t>amministratore di sostegno</w:t>
            </w:r>
            <w:r w:rsidRPr="00874348">
              <w:rPr>
                <w:rFonts w:ascii="Times New Roman" w:eastAsia="Times New Roman" w:hAnsi="Times New Roman" w:cs="Times New Roman"/>
                <w:sz w:val="16"/>
                <w:szCs w:val="16"/>
                <w:lang w:val="fr-FR"/>
              </w:rPr>
              <w:t>) de M</w:t>
            </w:r>
            <w:r w:rsidRPr="00874348">
              <w:rPr>
                <w:rFonts w:ascii="Times New Roman" w:eastAsia="Times New Roman" w:hAnsi="Times New Roman" w:cs="Times New Roman"/>
                <w:sz w:val="16"/>
                <w:szCs w:val="16"/>
                <w:vertAlign w:val="superscript"/>
                <w:lang w:val="fr-FR"/>
              </w:rPr>
              <w:t>me</w:t>
            </w:r>
            <w:r w:rsidRPr="00874348">
              <w:rPr>
                <w:rFonts w:ascii="Times New Roman" w:eastAsia="Times New Roman" w:hAnsi="Times New Roman" w:cs="Times New Roman"/>
                <w:sz w:val="16"/>
                <w:szCs w:val="16"/>
                <w:lang w:val="fr-FR"/>
              </w:rPr>
              <w:t xml:space="preserve"> Laura Ardenghi (requérante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12 dans cette même affaire)</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22/08/1976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Riese Pio X (Trévise)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4/01/2007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7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02/12/2009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 (ou même chiffre au titre des règlements amiables 2003)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16/03/1944</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Mirano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29/08/1970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Spinea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07/06/1975</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Mirano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27/09/1937</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57 175,35 EUR ou 619 748,28 EUR, ces derniers, conjointeme</w:t>
            </w:r>
            <w:r w:rsidR="00E56F40" w:rsidRPr="00874348">
              <w:rPr>
                <w:rFonts w:ascii="Times New Roman" w:eastAsia="Times New Roman" w:hAnsi="Times New Roman" w:cs="Times New Roman"/>
                <w:sz w:val="16"/>
                <w:szCs w:val="16"/>
                <w:lang w:val="fr-FR"/>
              </w:rPr>
              <w:t>nt avec les autres héritiers de 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4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21/05/1931</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57 175,35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4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07/05/1942</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Lido di Venise</w:t>
            </w:r>
          </w:p>
        </w:tc>
        <w:tc>
          <w:tcPr>
            <w:tcW w:w="86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14/05/2002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15/06/1971</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Spinea (Venise)</w:t>
            </w:r>
          </w:p>
        </w:tc>
        <w:tc>
          <w:tcPr>
            <w:tcW w:w="86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14/05/2002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30/10/1969</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Favaro Veneto (Venise)</w:t>
            </w:r>
          </w:p>
        </w:tc>
        <w:tc>
          <w:tcPr>
            <w:tcW w:w="86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14/05/2002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Calibri"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07/02/1936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14/05/2002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57 175,35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04/02/1967</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28/04/2005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57 175,35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14/03/1968</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28/04/2005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57 175,35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p w:rsidR="00220A74" w:rsidRPr="00874348" w:rsidRDefault="00220A74" w:rsidP="00874348">
            <w:pPr>
              <w:jc w:val="left"/>
              <w:rPr>
                <w:rFonts w:ascii="Times New Roman" w:eastAsia="Times New Roman" w:hAnsi="Times New Roman" w:cs="Times New Roman"/>
                <w:sz w:val="16"/>
                <w:szCs w:val="16"/>
                <w:lang w:val="fr-FR"/>
              </w:rPr>
            </w:pPr>
          </w:p>
          <w:p w:rsidR="00220A74" w:rsidRPr="00874348" w:rsidRDefault="00220A74" w:rsidP="00874348">
            <w:pPr>
              <w:jc w:val="left"/>
              <w:rPr>
                <w:rFonts w:ascii="Times New Roman" w:eastAsia="Times New Roman" w:hAnsi="Times New Roman" w:cs="Times New Roman"/>
                <w:sz w:val="16"/>
                <w:szCs w:val="16"/>
                <w:lang w:val="fr-FR"/>
              </w:rPr>
            </w:pP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02/07/1969</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28/04/2005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57 175,35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21/11/1970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28/04/2005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57 175,35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21/08/1947</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Marghera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9/07/2007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2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02/08/1938</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Turin</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9/07/2007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2 héritiers)</w:t>
            </w:r>
          </w:p>
        </w:tc>
      </w:tr>
      <w:tr w:rsidR="007B2095" w:rsidRPr="00874348" w:rsidTr="000E3E96">
        <w:trPr>
          <w:trHeight w:val="379"/>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27/04/1941</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9/07/2007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Affaire pendante en deuxième </w:t>
            </w:r>
            <w:r w:rsidRPr="00874348">
              <w:rPr>
                <w:rFonts w:ascii="Times New Roman" w:eastAsia="Times New Roman" w:hAnsi="Times New Roman" w:cs="Times New Roman"/>
                <w:sz w:val="16"/>
                <w:szCs w:val="16"/>
                <w:lang w:val="fr-FR"/>
              </w:rPr>
              <w:lastRenderedPageBreak/>
              <w:t>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article 5 § 2 du </w:t>
            </w:r>
            <w:r w:rsidRPr="00874348">
              <w:rPr>
                <w:rFonts w:ascii="Times New Roman" w:eastAsia="Times New Roman" w:hAnsi="Times New Roman" w:cs="Times New Roman"/>
                <w:sz w:val="16"/>
                <w:szCs w:val="16"/>
                <w:lang w:val="fr-FR"/>
              </w:rPr>
              <w:lastRenderedPageBreak/>
              <w:t>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24/04/1971</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Mestre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9/07/2007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Rome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02/07/1957</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Marghera (Venise)</w:t>
            </w:r>
          </w:p>
        </w:tc>
        <w:tc>
          <w:tcPr>
            <w:tcW w:w="86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10/07/2007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de Venise</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57 175,35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09/12/1940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Fiesso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Artico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28/11/2001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425 073,80 EUR ou 619 748,28 EUR, ces derniers, conjointement avec </w:t>
            </w:r>
            <w:r w:rsidR="00E56F40" w:rsidRPr="00874348">
              <w:rPr>
                <w:rFonts w:ascii="Times New Roman" w:eastAsia="Times New Roman" w:hAnsi="Times New Roman" w:cs="Times New Roman"/>
                <w:sz w:val="16"/>
                <w:szCs w:val="16"/>
                <w:lang w:val="fr-FR"/>
              </w:rPr>
              <w:t>X</w:t>
            </w:r>
            <w:r w:rsidRPr="00874348">
              <w:rPr>
                <w:rFonts w:ascii="Times New Roman" w:eastAsia="Times New Roman" w:hAnsi="Times New Roman" w:cs="Times New Roman"/>
                <w:sz w:val="16"/>
                <w:szCs w:val="16"/>
                <w:lang w:val="fr-FR"/>
              </w:rPr>
              <w:t>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06/12/1972</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Fiesso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Artico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28/11/2001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425 073,80 EUR ou 619 748,28 EUR, ces derniers,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23/07/1969</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Jesolo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28/11/2011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12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425 073,80 EUR ou 619 748,28 EUR, ces derniers,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28/03/1934</w:t>
            </w:r>
          </w:p>
        </w:tc>
        <w:tc>
          <w:tcPr>
            <w:tcW w:w="337"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Giorgio delle Pertiche (Padoue)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15/09/2004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11/09/1963</w:t>
            </w:r>
          </w:p>
        </w:tc>
        <w:tc>
          <w:tcPr>
            <w:tcW w:w="337"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Giorgio delle Pertiche (Padoue)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15/09/2004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11/09/1963</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Motta di Livenza (Trévise)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15/9/2004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rPr>
          <w:cantSplit/>
          <w:trHeight w:val="79"/>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20/09/1970</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CamposamPiero (Padoue)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15/09/2004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5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02/03/1966</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Loreggia (Padoue)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15/09/2004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416 323,80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w:t>
            </w:r>
            <w:r w:rsidR="00385ABF" w:rsidRPr="00874348">
              <w:rPr>
                <w:rFonts w:ascii="Times New Roman" w:eastAsia="Calibri" w:hAnsi="Times New Roman" w:cs="Times New Roman"/>
                <w:sz w:val="16"/>
                <w:szCs w:val="16"/>
                <w:lang w:val="fr-FR"/>
              </w:rPr>
              <w:t xml:space="preserve"> </w:t>
            </w:r>
            <w:r w:rsidRPr="00874348">
              <w:rPr>
                <w:rFonts w:ascii="Times New Roman" w:eastAsia="Calibri" w:hAnsi="Times New Roman" w:cs="Times New Roman"/>
                <w:sz w:val="16"/>
                <w:szCs w:val="16"/>
                <w:lang w:val="fr-FR"/>
              </w:rPr>
              <w:t>5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24/04/1944</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30/01/2006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619 748,28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16/02/1971</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30/01/2006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619 748,28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28/06/1972</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Lido di Venise</w:t>
            </w:r>
          </w:p>
        </w:tc>
        <w:tc>
          <w:tcPr>
            <w:tcW w:w="86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30/01/2006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619 748,28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3 héritiers)</w:t>
            </w:r>
          </w:p>
        </w:tc>
      </w:tr>
      <w:tr w:rsidR="007B2095" w:rsidRPr="00874348" w:rsidTr="000E3E96">
        <w:trPr>
          <w:cantSplit/>
        </w:trPr>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30/07/1928</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Calibri" w:hAnsi="Times New Roman" w:cs="Times New Roman"/>
                <w:sz w:val="16"/>
                <w:szCs w:val="16"/>
              </w:rPr>
              <w:t>9 Wattle Tree, R.D. North Geelong, 3215 Vic-Australie</w:t>
            </w:r>
          </w:p>
        </w:tc>
        <w:tc>
          <w:tcPr>
            <w:tcW w:w="86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de Venise à la date de dépôt des observations : 28/7/2014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57 175,35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4 héritiers)</w:t>
            </w:r>
          </w:p>
        </w:tc>
      </w:tr>
      <w:tr w:rsidR="007B2095" w:rsidRPr="00874348" w:rsidTr="000E3E96">
        <w:tc>
          <w:tcPr>
            <w:tcW w:w="240" w:type="pct"/>
          </w:tcPr>
          <w:p w:rsidR="007B2095" w:rsidRPr="00874348" w:rsidRDefault="007B2095" w:rsidP="00874348">
            <w:pPr>
              <w:numPr>
                <w:ilvl w:val="0"/>
                <w:numId w:val="11"/>
              </w:numPr>
              <w:contextualSpacing/>
              <w:jc w:val="left"/>
              <w:rPr>
                <w:rFonts w:ascii="Times New Roman" w:eastAsia="Times New Roman" w:hAnsi="Times New Roman" w:cs="Times New Roman"/>
                <w:b/>
                <w:sz w:val="16"/>
                <w:szCs w:val="16"/>
                <w:lang w:val="fr-FR"/>
              </w:rPr>
            </w:pPr>
          </w:p>
        </w:tc>
        <w:tc>
          <w:tcPr>
            <w:tcW w:w="43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18/01/1957</w:t>
            </w: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Calibri" w:hAnsi="Times New Roman" w:cs="Times New Roman"/>
                <w:sz w:val="16"/>
                <w:szCs w:val="16"/>
              </w:rPr>
              <w:t>25 Mossgiel Court, Hamljn heights 3215 Vic-Australie</w:t>
            </w:r>
          </w:p>
        </w:tc>
        <w:tc>
          <w:tcPr>
            <w:tcW w:w="86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action civile 9/11/2006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devant le tribunal de Venise à la date de dépôt des observations : 28/07/2014</w:t>
            </w:r>
          </w:p>
        </w:tc>
        <w:tc>
          <w:tcPr>
            <w:tcW w:w="43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six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220A74" w:rsidRPr="00874348" w:rsidRDefault="00220A74" w:rsidP="00874348">
            <w:pPr>
              <w:jc w:val="left"/>
              <w:rPr>
                <w:rFonts w:ascii="Times New Roman" w:eastAsia="Times New Roman" w:hAnsi="Times New Roman" w:cs="Times New Roman"/>
                <w:sz w:val="16"/>
                <w:szCs w:val="16"/>
                <w:lang w:val="fr-FR"/>
              </w:rPr>
            </w:pPr>
          </w:p>
        </w:tc>
        <w:tc>
          <w:tcPr>
            <w:tcW w:w="52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4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57 175,35 EUR ou 619 748,28 EUR, ces derniers, conjointement avec les autres héritiers de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1 429,38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r w:rsidR="004A572D" w:rsidRPr="00874348">
              <w:rPr>
                <w:rFonts w:ascii="Times New Roman" w:eastAsia="Times New Roman" w:hAnsi="Times New Roman" w:cs="Times New Roman"/>
                <w:sz w:val="16"/>
                <w:szCs w:val="16"/>
                <w:lang w:val="fr-FR"/>
              </w:rPr>
              <w:t xml:space="preserve"> </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4 héritiers)</w:t>
            </w:r>
          </w:p>
        </w:tc>
      </w:tr>
    </w:tbl>
    <w:p w:rsidR="007B2095" w:rsidRPr="00874348" w:rsidRDefault="007B2095" w:rsidP="00874348">
      <w:pPr>
        <w:rPr>
          <w:rFonts w:ascii="Times New Roman" w:eastAsia="Times New Roman" w:hAnsi="Times New Roman" w:cs="Times New Roman"/>
          <w:sz w:val="16"/>
          <w:szCs w:val="16"/>
          <w:lang w:val="fr-FR"/>
        </w:rPr>
      </w:pPr>
    </w:p>
    <w:p w:rsidR="00220A74" w:rsidRPr="00874348" w:rsidRDefault="00220A74" w:rsidP="00874348">
      <w:pPr>
        <w:rPr>
          <w:rFonts w:ascii="Times New Roman" w:eastAsia="Times New Roman" w:hAnsi="Times New Roman" w:cs="Times New Roman"/>
          <w:sz w:val="16"/>
          <w:szCs w:val="16"/>
          <w:lang w:val="fr-FR"/>
        </w:rPr>
      </w:pPr>
    </w:p>
    <w:p w:rsidR="007B2095" w:rsidRPr="00874348" w:rsidRDefault="007B2095" w:rsidP="00874348">
      <w:pPr>
        <w:ind w:left="-567" w:right="-715"/>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3.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23130/13 C.A. et quarante-cinq autres requérants</w:t>
      </w:r>
    </w:p>
    <w:p w:rsidR="007B2095" w:rsidRPr="00874348" w:rsidRDefault="007B2095" w:rsidP="00874348">
      <w:pPr>
        <w:ind w:left="-567" w:right="-715"/>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11/1/2013. Ils sont représentés devant la Cour par M</w:t>
      </w:r>
      <w:r w:rsidRPr="00874348">
        <w:rPr>
          <w:rFonts w:ascii="Times New Roman" w:eastAsia="Times New Roman" w:hAnsi="Times New Roman" w:cs="Times New Roman"/>
          <w:sz w:val="16"/>
          <w:szCs w:val="16"/>
          <w:vertAlign w:val="superscript"/>
          <w:lang w:val="fr-FR"/>
        </w:rPr>
        <w:t>e</w:t>
      </w:r>
      <w:r w:rsidRPr="00874348">
        <w:rPr>
          <w:rFonts w:ascii="Times New Roman" w:eastAsia="Times New Roman" w:hAnsi="Times New Roman" w:cs="Times New Roman"/>
          <w:sz w:val="16"/>
          <w:szCs w:val="16"/>
          <w:lang w:val="fr-FR"/>
        </w:rPr>
        <w:t xml:space="preserve"> Luigi DELUCCHI, avocat à Gênes.</w:t>
      </w:r>
    </w:p>
    <w:p w:rsidR="007B2095" w:rsidRPr="00874348" w:rsidRDefault="007B2095" w:rsidP="00874348">
      <w:pPr>
        <w:ind w:left="-567" w:right="-715"/>
        <w:rPr>
          <w:rFonts w:ascii="Times New Roman" w:eastAsia="Times New Roman" w:hAnsi="Times New Roman" w:cs="Times New Roman"/>
          <w:sz w:val="16"/>
          <w:szCs w:val="16"/>
          <w:lang w:val="fr-FR"/>
        </w:rPr>
      </w:pPr>
    </w:p>
    <w:tbl>
      <w:tblPr>
        <w:tblStyle w:val="ECHRListTable1"/>
        <w:tblW w:w="5191" w:type="pct"/>
        <w:tblInd w:w="-885" w:type="dxa"/>
        <w:tblLook w:val="05E0" w:firstRow="1" w:lastRow="1" w:firstColumn="1" w:lastColumn="1" w:noHBand="0" w:noVBand="1"/>
      </w:tblPr>
      <w:tblGrid>
        <w:gridCol w:w="936"/>
        <w:gridCol w:w="1150"/>
        <w:gridCol w:w="1043"/>
        <w:gridCol w:w="2072"/>
        <w:gridCol w:w="1291"/>
        <w:gridCol w:w="2547"/>
        <w:gridCol w:w="2415"/>
        <w:gridCol w:w="1530"/>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318"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lastRenderedPageBreak/>
              <w:t>N</w:t>
            </w:r>
            <w:r w:rsidR="00385ABF" w:rsidRPr="00874348">
              <w:rPr>
                <w:rFonts w:ascii="Times New Roman" w:eastAsia="Times New Roman" w:hAnsi="Times New Roman" w:cs="Times New Roman"/>
                <w:sz w:val="16"/>
                <w:szCs w:val="16"/>
                <w:vertAlign w:val="superscript"/>
              </w:rPr>
              <w:t>o</w:t>
            </w: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94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jc w:val="left"/>
              <w:rPr>
                <w:rFonts w:ascii="Times New Roman" w:eastAsia="Times New Roman" w:hAnsi="Times New Roman" w:cs="Times New Roman"/>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24/01/1975</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Verone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27/07/2004 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02/12/2009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28/02/1976</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Borgo San Lo</w:t>
            </w:r>
            <w:r w:rsidRPr="00874348">
              <w:rPr>
                <w:rFonts w:ascii="Times New Roman" w:eastAsia="Times New Roman" w:hAnsi="Times New Roman" w:cs="Times New Roman"/>
                <w:sz w:val="16"/>
                <w:szCs w:val="16"/>
              </w:rPr>
              <w:t>renzo (Florence)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1/12/2004.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29/8/2005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8/3/2006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464 811,21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27/04/1970</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Casale di Scodosia (Padoue)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27/07/2004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02/12/2009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16/12/1975</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27/04/2004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02/12/2009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10/09/1965</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27/04/2004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 xml:space="preserve">Durée (environ) : 10 </w:t>
            </w:r>
            <w:r w:rsidRPr="00874348">
              <w:rPr>
                <w:rFonts w:ascii="Times New Roman" w:eastAsia="Times New Roman" w:hAnsi="Times New Roman" w:cs="Times New Roman"/>
                <w:sz w:val="16"/>
                <w:szCs w:val="16"/>
                <w:lang w:val="fr-FR"/>
              </w:rPr>
              <w:lastRenderedPageBreak/>
              <w:t>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02/12/2009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article </w:t>
            </w:r>
            <w:r w:rsidRPr="00874348">
              <w:rPr>
                <w:rFonts w:ascii="Times New Roman" w:eastAsia="Times New Roman" w:hAnsi="Times New Roman" w:cs="Times New Roman"/>
                <w:sz w:val="16"/>
                <w:szCs w:val="16"/>
                <w:lang w:val="fr-FR"/>
              </w:rPr>
              <w:lastRenderedPageBreak/>
              <w:t>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12/03/1958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Nogara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27/04/2004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02/12/2009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02/06/1966</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Collegno (Turin)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13/02/2006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28/09/1962</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Este (Padoue)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17/11/1960</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Malnate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1/02/2006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13/10/1958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1/12/2004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29/08/2005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8/3/2006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définitif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464 811,21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23/01/1978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Montegrotto Terme (Padoue)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27/04/2004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14/04/1960</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Baselga di Piné (Trente)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1/12/2004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29/8/2005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8/3/2006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14/10/2010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EUR 464 811,21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23/09/1975</w:t>
            </w:r>
          </w:p>
        </w:tc>
        <w:tc>
          <w:tcPr>
            <w:tcW w:w="354"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Giorgio a Cremano (Naples)</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1/12/2004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29/8/2005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8/3/2006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Affaire pendante en </w:t>
            </w:r>
            <w:r w:rsidRPr="00874348">
              <w:rPr>
                <w:rFonts w:ascii="Times New Roman" w:eastAsia="Times New Roman" w:hAnsi="Times New Roman" w:cs="Times New Roman"/>
                <w:sz w:val="16"/>
                <w:szCs w:val="16"/>
                <w:lang w:val="fr-FR"/>
              </w:rPr>
              <w:lastRenderedPageBreak/>
              <w:t>deuxième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Durée (environ) : 10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14/10/2010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EUR 464 811,21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10/11/1982</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1/12/2004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29/8/2005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8/3/2006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14/10/2010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EUR 464 811,21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13/12/1944</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Villa Poma (Mantoue)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27/04/2004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EUR 619 748,28 (conjointement avec </w:t>
            </w:r>
            <w:r w:rsidR="00E56F40" w:rsidRPr="00874348">
              <w:rPr>
                <w:rFonts w:ascii="Times New Roman" w:eastAsia="Times New Roman" w:hAnsi="Times New Roman" w:cs="Times New Roman"/>
                <w:sz w:val="16"/>
                <w:szCs w:val="16"/>
                <w:lang w:val="fr-FR"/>
              </w:rPr>
              <w:t>X</w:t>
            </w:r>
            <w:r w:rsidRPr="00874348">
              <w:rPr>
                <w:rFonts w:ascii="Times New Roman" w:eastAsia="Times New Roman" w:hAnsi="Times New Roman" w:cs="Times New Roman"/>
                <w:sz w:val="16"/>
                <w:szCs w:val="16"/>
                <w:lang w:val="fr-FR"/>
              </w:rPr>
              <w:t>)</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2 héritiers)</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22/03/1938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14/10/2010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EUR 619 748,28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2 héritiers)</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20/09/1961</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Rubiana (Turin)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Pendante en première instance à la date de dépôt des observations : </w:t>
            </w:r>
            <w:r w:rsidRPr="00874348">
              <w:rPr>
                <w:rFonts w:ascii="Times New Roman" w:eastAsia="Times New Roman" w:hAnsi="Times New Roman" w:cs="Times New Roman"/>
                <w:sz w:val="16"/>
                <w:szCs w:val="16"/>
                <w:lang w:val="fr-FR"/>
              </w:rPr>
              <w:lastRenderedPageBreak/>
              <w:t>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14/10/2010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EUR 619 748,28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 devant les instances internes </w:t>
            </w:r>
            <w:r w:rsidRPr="00874348">
              <w:rPr>
                <w:rFonts w:ascii="Times New Roman" w:eastAsia="Times New Roman" w:hAnsi="Times New Roman" w:cs="Times New Roman"/>
                <w:sz w:val="16"/>
                <w:szCs w:val="16"/>
                <w:lang w:val="fr-FR"/>
              </w:rPr>
              <w:lastRenderedPageBreak/>
              <w:t>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Calibri" w:hAnsi="Times New Roman" w:cs="Times New Roman"/>
                <w:sz w:val="16"/>
                <w:szCs w:val="16"/>
                <w:lang w:val="fr-FR"/>
              </w:rPr>
              <w:t>(conjointement entre les 2 héritiers)</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13/09/1967</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Arbizzano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20/08/1956</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Arbizzano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02/11/1966</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Maurizio Canavese (Turin)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1/12/2004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29/8/2005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8/3/2006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996"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définitif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EUR 464 811,21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15/11/1945</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Villa Poma (Mantoue)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EUR 619 748,28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2 héritiers)</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05/09/1984</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Legnago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08/09/1978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12/08/1968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25/03/1961</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1/12/2004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29/8/2005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8/3/2006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EUR 464 811,21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03/08/1971</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Este (Padoue)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 xml:space="preserve">Durée (environ) : 10 </w:t>
            </w:r>
            <w:r w:rsidRPr="00874348">
              <w:rPr>
                <w:rFonts w:ascii="Times New Roman" w:eastAsia="Times New Roman" w:hAnsi="Times New Roman" w:cs="Times New Roman"/>
                <w:sz w:val="16"/>
                <w:szCs w:val="16"/>
                <w:lang w:val="fr-FR"/>
              </w:rPr>
              <w:lastRenderedPageBreak/>
              <w:t>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article </w:t>
            </w:r>
            <w:r w:rsidRPr="00874348">
              <w:rPr>
                <w:rFonts w:ascii="Times New Roman" w:eastAsia="Times New Roman" w:hAnsi="Times New Roman" w:cs="Times New Roman"/>
                <w:sz w:val="16"/>
                <w:szCs w:val="16"/>
                <w:lang w:val="fr-FR"/>
              </w:rPr>
              <w:lastRenderedPageBreak/>
              <w:t>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30 000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28/09/1961</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619 748,28 EUR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3 héritiers)</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14/08/1932</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Nichelino (Turin)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Dommage matériel : 619 748,28 EUR conjointement avec </w:t>
            </w:r>
            <w:r w:rsidR="00E56F40" w:rsidRPr="00874348">
              <w:rPr>
                <w:rFonts w:ascii="Times New Roman" w:eastAsia="Times New Roman" w:hAnsi="Times New Roman" w:cs="Times New Roman"/>
                <w:sz w:val="16"/>
                <w:szCs w:val="16"/>
                <w:lang w:val="fr-FR"/>
              </w:rPr>
              <w:t>X</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3 héritiers)</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26/08/1980</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Mirano (Venise)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10/06/1968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Maurizio Canavese (Turin)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lastRenderedPageBreak/>
              <w:t>25 000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08/02/1961</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Pressana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r w:rsidRPr="00874348">
              <w:rPr>
                <w:rFonts w:ascii="Times New Roman" w:eastAsia="Calibri" w:hAnsi="Times New Roman" w:cs="Times New Roman"/>
                <w:sz w:val="22"/>
              </w:rPr>
              <w:br w:type="page"/>
            </w: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05/04/1970</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Sarmeola di Rubano (Padoue)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619 748,28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20/11/1978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Ostiglia (Mantoue)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27/03/1932</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Nichelino (Turin)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619 748,28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3 héritiers)</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11/04/1979</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Oppeano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21/08/1967</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Castagnaro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18/6/2007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13/06/1969</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Legnago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23/11/2007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28/09/1968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15/04/1961</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Giovanni Lupatoto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18/11/1979</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Legnago (Varèse)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18/6/2007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31/07/1968</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Borgaro Torinese (Turin)</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de réponse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Critère applicable: 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15/12/1982</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Dalmine (Bergame)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1/12/2004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29/8/2005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le 8/3/2006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464 811,21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17/05/1982</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Campolongo Maggiore (Venise)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30/05/1970</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Ponso (Padoue)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24/09/1971</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Montegrotto Terme (Padoue)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318" w:type="pct"/>
          </w:tcPr>
          <w:p w:rsidR="007B2095" w:rsidRPr="00874348" w:rsidRDefault="007B2095" w:rsidP="00874348">
            <w:pPr>
              <w:numPr>
                <w:ilvl w:val="0"/>
                <w:numId w:val="12"/>
              </w:numPr>
              <w:contextualSpacing/>
              <w:jc w:val="left"/>
              <w:rPr>
                <w:rFonts w:ascii="Times New Roman" w:eastAsia="Times New Roman" w:hAnsi="Times New Roman" w:cs="Times New Roman"/>
                <w:b/>
                <w:sz w:val="16"/>
                <w:szCs w:val="16"/>
                <w:lang w:val="fr-FR"/>
              </w:rPr>
            </w:pPr>
          </w:p>
        </w:tc>
        <w:tc>
          <w:tcPr>
            <w:tcW w:w="45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28/01/1971</w:t>
            </w:r>
          </w:p>
        </w:tc>
        <w:tc>
          <w:tcPr>
            <w:tcW w:w="35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Santa Margherita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Adige (Padoue)</w:t>
            </w:r>
          </w:p>
        </w:tc>
        <w:tc>
          <w:tcPr>
            <w:tcW w:w="81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27/4/2004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18/12/2014</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99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4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413 165,52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39 000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les instances internes 7 000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devant la Cour 1 000 EUR</w:t>
            </w: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bl>
    <w:p w:rsidR="007B2095" w:rsidRPr="00874348" w:rsidRDefault="007B2095" w:rsidP="00874348">
      <w:pPr>
        <w:ind w:left="-567" w:right="-715"/>
        <w:rPr>
          <w:rFonts w:ascii="Times New Roman" w:eastAsia="Times New Roman" w:hAnsi="Times New Roman" w:cs="Times New Roman"/>
          <w:b/>
          <w:sz w:val="16"/>
          <w:szCs w:val="16"/>
          <w:u w:val="single"/>
          <w:lang w:val="fr-FR"/>
        </w:rPr>
      </w:pPr>
    </w:p>
    <w:p w:rsidR="007B2095" w:rsidRPr="00874348" w:rsidRDefault="007B2095" w:rsidP="00874348">
      <w:pPr>
        <w:keepNext/>
        <w:keepLines/>
        <w:ind w:left="-567" w:right="-715"/>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lastRenderedPageBreak/>
        <w:t>4.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23149/13 N.D. et trois autres requérants</w:t>
      </w:r>
    </w:p>
    <w:p w:rsidR="007B2095" w:rsidRPr="00874348" w:rsidRDefault="007B2095" w:rsidP="00874348">
      <w:pPr>
        <w:keepNext/>
        <w:keepLines/>
        <w:ind w:left="-567" w:right="-715"/>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12/1/2013. Ils sont représentés devant la Cour par M</w:t>
      </w:r>
      <w:r w:rsidRPr="00874348">
        <w:rPr>
          <w:rFonts w:ascii="Times New Roman" w:eastAsia="Times New Roman" w:hAnsi="Times New Roman" w:cs="Times New Roman"/>
          <w:sz w:val="16"/>
          <w:szCs w:val="16"/>
          <w:vertAlign w:val="superscript"/>
          <w:lang w:val="fr-FR"/>
        </w:rPr>
        <w:t>e</w:t>
      </w:r>
      <w:r w:rsidRPr="00874348">
        <w:rPr>
          <w:rFonts w:ascii="Times New Roman" w:eastAsia="Times New Roman" w:hAnsi="Times New Roman" w:cs="Times New Roman"/>
          <w:sz w:val="16"/>
          <w:szCs w:val="16"/>
          <w:lang w:val="fr-FR"/>
        </w:rPr>
        <w:t xml:space="preserve"> Francesco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ANGELO, avocat à Salerne.</w:t>
      </w:r>
    </w:p>
    <w:p w:rsidR="007B2095" w:rsidRPr="00874348" w:rsidRDefault="007B2095" w:rsidP="00874348">
      <w:pPr>
        <w:keepNext/>
        <w:keepLines/>
        <w:rPr>
          <w:rFonts w:ascii="Times New Roman" w:eastAsia="Times New Roman" w:hAnsi="Times New Roman" w:cs="Times New Roman"/>
          <w:sz w:val="16"/>
          <w:szCs w:val="16"/>
          <w:lang w:val="fr-FR"/>
        </w:rPr>
      </w:pPr>
    </w:p>
    <w:tbl>
      <w:tblPr>
        <w:tblStyle w:val="ECHRListTable1"/>
        <w:tblW w:w="5250" w:type="pct"/>
        <w:tblInd w:w="-885" w:type="dxa"/>
        <w:tblLayout w:type="fixed"/>
        <w:tblLook w:val="05E0" w:firstRow="1" w:lastRow="1" w:firstColumn="1" w:lastColumn="1" w:noHBand="0" w:noVBand="1"/>
      </w:tblPr>
      <w:tblGrid>
        <w:gridCol w:w="625"/>
        <w:gridCol w:w="1376"/>
        <w:gridCol w:w="877"/>
        <w:gridCol w:w="2125"/>
        <w:gridCol w:w="1376"/>
        <w:gridCol w:w="2626"/>
        <w:gridCol w:w="2500"/>
        <w:gridCol w:w="1626"/>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38"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524"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34"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809"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524" w:type="pct"/>
          </w:tcPr>
          <w:p w:rsidR="00385ABF"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tc>
        <w:tc>
          <w:tcPr>
            <w:tcW w:w="100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952" w:type="pct"/>
          </w:tcPr>
          <w:p w:rsidR="00385ABF"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619"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38" w:type="pct"/>
          </w:tcPr>
          <w:p w:rsidR="007B2095" w:rsidRPr="00874348" w:rsidRDefault="007B2095" w:rsidP="00874348">
            <w:pPr>
              <w:numPr>
                <w:ilvl w:val="0"/>
                <w:numId w:val="17"/>
              </w:numPr>
              <w:contextualSpacing/>
              <w:jc w:val="left"/>
              <w:rPr>
                <w:rFonts w:ascii="Times New Roman" w:eastAsia="Times New Roman" w:hAnsi="Times New Roman" w:cs="Times New Roman"/>
                <w:b/>
                <w:sz w:val="16"/>
                <w:szCs w:val="16"/>
                <w:lang w:val="fr-FR"/>
              </w:rPr>
            </w:pPr>
          </w:p>
        </w:tc>
        <w:tc>
          <w:tcPr>
            <w:tcW w:w="52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21/04/1947</w:t>
            </w:r>
          </w:p>
        </w:tc>
        <w:tc>
          <w:tcPr>
            <w:tcW w:w="33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Angri</w:t>
            </w:r>
          </w:p>
        </w:tc>
        <w:tc>
          <w:tcPr>
            <w:tcW w:w="80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20/11/2008</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à la date de dépôt des observations : 21/12/2014</w:t>
            </w:r>
          </w:p>
        </w:tc>
        <w:tc>
          <w:tcPr>
            <w:tcW w:w="5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6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100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300 000EUR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150 000EUR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Frais et dépens encourus devant la Cour : 49 208,01 EUR conjointement aux autres requérants </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0E3E96">
        <w:tc>
          <w:tcPr>
            <w:tcW w:w="238" w:type="pct"/>
          </w:tcPr>
          <w:p w:rsidR="007B2095" w:rsidRPr="00874348" w:rsidRDefault="007B2095" w:rsidP="00874348">
            <w:pPr>
              <w:numPr>
                <w:ilvl w:val="0"/>
                <w:numId w:val="17"/>
              </w:numPr>
              <w:contextualSpacing/>
              <w:jc w:val="left"/>
              <w:rPr>
                <w:rFonts w:ascii="Times New Roman" w:eastAsia="Times New Roman" w:hAnsi="Times New Roman" w:cs="Times New Roman"/>
                <w:b/>
                <w:sz w:val="16"/>
                <w:szCs w:val="16"/>
                <w:lang w:val="fr-FR"/>
              </w:rPr>
            </w:pPr>
          </w:p>
        </w:tc>
        <w:tc>
          <w:tcPr>
            <w:tcW w:w="52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07/04/1946</w:t>
            </w:r>
          </w:p>
        </w:tc>
        <w:tc>
          <w:tcPr>
            <w:tcW w:w="33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Angri</w:t>
            </w:r>
          </w:p>
        </w:tc>
        <w:tc>
          <w:tcPr>
            <w:tcW w:w="80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30/12/2005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21/12/2014</w:t>
            </w:r>
          </w:p>
        </w:tc>
        <w:tc>
          <w:tcPr>
            <w:tcW w:w="5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100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300 000EUR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150 000EUR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 49 208,01 EUR conjointement aux autres requérants</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8" w:type="pct"/>
          </w:tcPr>
          <w:p w:rsidR="007B2095" w:rsidRPr="00874348" w:rsidRDefault="007B2095" w:rsidP="00874348">
            <w:pPr>
              <w:numPr>
                <w:ilvl w:val="0"/>
                <w:numId w:val="17"/>
              </w:numPr>
              <w:contextualSpacing/>
              <w:jc w:val="left"/>
              <w:rPr>
                <w:rFonts w:ascii="Times New Roman" w:eastAsia="Times New Roman" w:hAnsi="Times New Roman" w:cs="Times New Roman"/>
                <w:b/>
                <w:sz w:val="16"/>
                <w:szCs w:val="16"/>
                <w:lang w:val="fr-FR"/>
              </w:rPr>
            </w:pPr>
          </w:p>
        </w:tc>
        <w:tc>
          <w:tcPr>
            <w:tcW w:w="52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20/01/1962</w:t>
            </w:r>
          </w:p>
        </w:tc>
        <w:tc>
          <w:tcPr>
            <w:tcW w:w="33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Trentinara (Salerne)</w:t>
            </w:r>
          </w:p>
        </w:tc>
        <w:tc>
          <w:tcPr>
            <w:tcW w:w="80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19/1/2004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21/12/2014</w:t>
            </w:r>
          </w:p>
        </w:tc>
        <w:tc>
          <w:tcPr>
            <w:tcW w:w="5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100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300 000EUR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150 000EUR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 49 208,01 EUR conjointement aux autres requérants</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8" w:type="pct"/>
          </w:tcPr>
          <w:p w:rsidR="007B2095" w:rsidRPr="00874348" w:rsidRDefault="007B2095" w:rsidP="00874348">
            <w:pPr>
              <w:numPr>
                <w:ilvl w:val="0"/>
                <w:numId w:val="17"/>
              </w:numPr>
              <w:contextualSpacing/>
              <w:jc w:val="left"/>
              <w:rPr>
                <w:rFonts w:ascii="Times New Roman" w:eastAsia="Times New Roman" w:hAnsi="Times New Roman" w:cs="Times New Roman"/>
                <w:b/>
                <w:sz w:val="16"/>
                <w:szCs w:val="16"/>
                <w:lang w:val="fr-FR"/>
              </w:rPr>
            </w:pPr>
          </w:p>
        </w:tc>
        <w:tc>
          <w:tcPr>
            <w:tcW w:w="52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05/02/1963</w:t>
            </w:r>
          </w:p>
        </w:tc>
        <w:tc>
          <w:tcPr>
            <w:tcW w:w="33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80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du mois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avril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21/12/2014</w:t>
            </w:r>
          </w:p>
        </w:tc>
        <w:tc>
          <w:tcPr>
            <w:tcW w:w="5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100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9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300 000EUR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150 000EUR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 49 208,01 EUR conjointement aux autres requérants</w:t>
            </w:r>
          </w:p>
        </w:tc>
        <w:tc>
          <w:tcPr>
            <w:tcW w:w="61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7B2095" w:rsidRPr="00874348" w:rsidRDefault="007B2095" w:rsidP="00874348">
      <w:pPr>
        <w:ind w:left="-567" w:right="-715"/>
        <w:rPr>
          <w:rFonts w:ascii="Times New Roman" w:eastAsia="Times New Roman" w:hAnsi="Times New Roman" w:cs="Times New Roman"/>
          <w:b/>
          <w:sz w:val="16"/>
          <w:szCs w:val="16"/>
          <w:u w:val="single"/>
          <w:lang w:val="fr-FR"/>
        </w:rPr>
      </w:pPr>
    </w:p>
    <w:p w:rsidR="007B2095" w:rsidRPr="00874348" w:rsidRDefault="007B2095" w:rsidP="00874348">
      <w:pPr>
        <w:keepNext/>
        <w:keepLines/>
        <w:ind w:left="-567" w:right="-715"/>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lastRenderedPageBreak/>
        <w:t>5.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64572/13 G.A. et quarante</w:t>
      </w:r>
      <w:r w:rsidR="00385ABF" w:rsidRPr="00874348">
        <w:rPr>
          <w:rFonts w:ascii="Times New Roman" w:eastAsia="Times New Roman" w:hAnsi="Times New Roman" w:cs="Times New Roman"/>
          <w:b/>
          <w:sz w:val="16"/>
          <w:szCs w:val="16"/>
          <w:u w:val="single"/>
          <w:lang w:val="fr-FR"/>
        </w:rPr>
        <w:t xml:space="preserve"> </w:t>
      </w:r>
      <w:r w:rsidRPr="00874348">
        <w:rPr>
          <w:rFonts w:ascii="Times New Roman" w:eastAsia="Times New Roman" w:hAnsi="Times New Roman" w:cs="Times New Roman"/>
          <w:b/>
          <w:sz w:val="16"/>
          <w:szCs w:val="16"/>
          <w:u w:val="single"/>
          <w:lang w:val="fr-FR"/>
        </w:rPr>
        <w:t>autres requérants</w:t>
      </w:r>
    </w:p>
    <w:p w:rsidR="007B2095" w:rsidRPr="00874348" w:rsidRDefault="007B2095" w:rsidP="00874348">
      <w:pPr>
        <w:keepNext/>
        <w:keepLines/>
        <w:ind w:left="-567" w:right="-715"/>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9/1/2013. Ils sont représentés devant la Cour par M</w:t>
      </w:r>
      <w:r w:rsidRPr="00874348">
        <w:rPr>
          <w:rFonts w:ascii="Times New Roman" w:eastAsia="Times New Roman" w:hAnsi="Times New Roman" w:cs="Times New Roman"/>
          <w:sz w:val="16"/>
          <w:szCs w:val="16"/>
          <w:vertAlign w:val="superscript"/>
          <w:lang w:val="fr-FR"/>
        </w:rPr>
        <w:t>e</w:t>
      </w:r>
      <w:r w:rsidRPr="00874348">
        <w:rPr>
          <w:rFonts w:ascii="Times New Roman" w:eastAsia="Times New Roman" w:hAnsi="Times New Roman" w:cs="Times New Roman"/>
          <w:sz w:val="16"/>
          <w:szCs w:val="16"/>
          <w:lang w:val="fr-FR"/>
        </w:rPr>
        <w:t xml:space="preserve"> Paola SORAGNI, avocat à Milan.</w:t>
      </w:r>
    </w:p>
    <w:p w:rsidR="007B2095" w:rsidRPr="00874348" w:rsidRDefault="007B2095" w:rsidP="00874348">
      <w:pPr>
        <w:keepNext/>
        <w:keepLines/>
        <w:rPr>
          <w:rFonts w:ascii="Times New Roman" w:eastAsia="Times New Roman" w:hAnsi="Times New Roman" w:cs="Times New Roman"/>
          <w:sz w:val="16"/>
          <w:szCs w:val="16"/>
          <w:lang w:val="fr-FR"/>
        </w:rPr>
      </w:pPr>
    </w:p>
    <w:tbl>
      <w:tblPr>
        <w:tblStyle w:val="ECHRListTable1"/>
        <w:tblW w:w="5018" w:type="pct"/>
        <w:tblInd w:w="-885" w:type="dxa"/>
        <w:tblLayout w:type="fixed"/>
        <w:tblLook w:val="05E0" w:firstRow="1" w:lastRow="1" w:firstColumn="1" w:lastColumn="1" w:noHBand="0" w:noVBand="1"/>
      </w:tblPr>
      <w:tblGrid>
        <w:gridCol w:w="1172"/>
        <w:gridCol w:w="1376"/>
        <w:gridCol w:w="1253"/>
        <w:gridCol w:w="3007"/>
        <w:gridCol w:w="5743"/>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467"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548"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499"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1198"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2288"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r>
      <w:tr w:rsidR="007B2095" w:rsidRPr="00874348" w:rsidTr="000E3E96">
        <w:tc>
          <w:tcPr>
            <w:tcW w:w="467" w:type="pct"/>
          </w:tcPr>
          <w:p w:rsidR="007B2095" w:rsidRPr="00874348" w:rsidRDefault="007B2095" w:rsidP="00874348">
            <w:pPr>
              <w:keepNext/>
              <w:keepLines/>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27/03/1963</w:t>
            </w:r>
          </w:p>
        </w:tc>
        <w:tc>
          <w:tcPr>
            <w:tcW w:w="499"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Canossa</w:t>
            </w:r>
          </w:p>
        </w:tc>
        <w:tc>
          <w:tcPr>
            <w:tcW w:w="1198"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keepNext/>
              <w:keepLines/>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23/02/1946</w:t>
            </w:r>
          </w:p>
        </w:tc>
        <w:tc>
          <w:tcPr>
            <w:tcW w:w="499"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Casalgrande (RE)</w:t>
            </w:r>
          </w:p>
        </w:tc>
        <w:tc>
          <w:tcPr>
            <w:tcW w:w="1198"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Préavis de rejet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29/04/1953</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08/03/1958</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09/08/1957</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Guastalla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12/08/1950</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02/10/1965</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Brescello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23/04/1926</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24/05/1951</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16/04/1934</w:t>
            </w:r>
          </w:p>
        </w:tc>
        <w:tc>
          <w:tcPr>
            <w:tcW w:w="499"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 Polo D</w:t>
            </w:r>
            <w:r w:rsidR="00874348" w:rsidRPr="00874348">
              <w:rPr>
                <w:rFonts w:ascii="Times New Roman" w:eastAsia="Times New Roman" w:hAnsi="Times New Roman" w:cs="Times New Roman"/>
                <w:sz w:val="16"/>
                <w:szCs w:val="16"/>
                <w:lang w:val="it-IT"/>
              </w:rPr>
              <w:t>’</w:t>
            </w:r>
            <w:r w:rsidRPr="00874348">
              <w:rPr>
                <w:rFonts w:ascii="Times New Roman" w:eastAsia="Times New Roman" w:hAnsi="Times New Roman" w:cs="Times New Roman"/>
                <w:sz w:val="16"/>
                <w:szCs w:val="16"/>
                <w:lang w:val="it-IT"/>
              </w:rPr>
              <w:t>Enza (Reggio d</w:t>
            </w:r>
            <w:r w:rsidR="00874348" w:rsidRPr="00874348">
              <w:rPr>
                <w:rFonts w:ascii="Times New Roman" w:eastAsia="Times New Roman" w:hAnsi="Times New Roman" w:cs="Times New Roman"/>
                <w:sz w:val="16"/>
                <w:szCs w:val="16"/>
                <w:lang w:val="it-IT"/>
              </w:rPr>
              <w:t>’</w:t>
            </w:r>
            <w:r w:rsidRPr="00874348">
              <w:rPr>
                <w:rFonts w:ascii="Times New Roman" w:eastAsia="Times New Roman" w:hAnsi="Times New Roman" w:cs="Times New Roman"/>
                <w:sz w:val="16"/>
                <w:szCs w:val="16"/>
                <w:lang w:val="it-IT"/>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11/08/1944</w:t>
            </w:r>
          </w:p>
        </w:tc>
        <w:tc>
          <w:tcPr>
            <w:tcW w:w="499"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 Polo D</w:t>
            </w:r>
            <w:r w:rsidR="00874348" w:rsidRPr="00874348">
              <w:rPr>
                <w:rFonts w:ascii="Times New Roman" w:eastAsia="Times New Roman" w:hAnsi="Times New Roman" w:cs="Times New Roman"/>
                <w:sz w:val="16"/>
                <w:szCs w:val="16"/>
                <w:lang w:val="it-IT"/>
              </w:rPr>
              <w:t>’</w:t>
            </w:r>
            <w:r w:rsidRPr="00874348">
              <w:rPr>
                <w:rFonts w:ascii="Times New Roman" w:eastAsia="Times New Roman" w:hAnsi="Times New Roman" w:cs="Times New Roman"/>
                <w:sz w:val="16"/>
                <w:szCs w:val="16"/>
                <w:lang w:val="it-IT"/>
              </w:rPr>
              <w:t>Enza (Reggio d</w:t>
            </w:r>
            <w:r w:rsidR="00874348" w:rsidRPr="00874348">
              <w:rPr>
                <w:rFonts w:ascii="Times New Roman" w:eastAsia="Times New Roman" w:hAnsi="Times New Roman" w:cs="Times New Roman"/>
                <w:sz w:val="16"/>
                <w:szCs w:val="16"/>
                <w:lang w:val="it-IT"/>
              </w:rPr>
              <w:t>’</w:t>
            </w:r>
            <w:r w:rsidRPr="00874348">
              <w:rPr>
                <w:rFonts w:ascii="Times New Roman" w:eastAsia="Times New Roman" w:hAnsi="Times New Roman" w:cs="Times New Roman"/>
                <w:sz w:val="16"/>
                <w:szCs w:val="16"/>
                <w:lang w:val="it-IT"/>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29/04/1972</w:t>
            </w:r>
          </w:p>
        </w:tc>
        <w:tc>
          <w:tcPr>
            <w:tcW w:w="499"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Quattro Castella</w:t>
            </w:r>
          </w:p>
        </w:tc>
        <w:tc>
          <w:tcPr>
            <w:tcW w:w="119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21/10/1967</w:t>
            </w:r>
          </w:p>
        </w:tc>
        <w:tc>
          <w:tcPr>
            <w:tcW w:w="499"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Reggio Emilia</w:t>
            </w:r>
          </w:p>
        </w:tc>
        <w:tc>
          <w:tcPr>
            <w:tcW w:w="119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08/04/1944</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Casalgrande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10/07/1965</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Campagnola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05/12/1942</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Parme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25/05/1940</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Correggio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12/07/1972</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02/03/1943</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Albinea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Exclu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13/09/1946</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Fontevivo (Parme)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19/12/1947</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19/04/1965</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Cadelbosco Sopra</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18/05/1951</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 Polo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Enza (Fontevivo)</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07/12/1943</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Castelnovo Sotto</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18/01/1964</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04/06/1979</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Quattro Castella</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28/11/1960</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Neviano degli Arduini</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20/04/1956</w:t>
            </w:r>
          </w:p>
        </w:tc>
        <w:tc>
          <w:tcPr>
            <w:tcW w:w="499"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 Polo d</w:t>
            </w:r>
            <w:r w:rsidR="00874348" w:rsidRPr="00874348">
              <w:rPr>
                <w:rFonts w:ascii="Times New Roman" w:eastAsia="Times New Roman" w:hAnsi="Times New Roman" w:cs="Times New Roman"/>
                <w:sz w:val="16"/>
                <w:szCs w:val="16"/>
                <w:lang w:val="it-IT"/>
              </w:rPr>
              <w:t>’</w:t>
            </w:r>
            <w:r w:rsidRPr="00874348">
              <w:rPr>
                <w:rFonts w:ascii="Times New Roman" w:eastAsia="Times New Roman" w:hAnsi="Times New Roman" w:cs="Times New Roman"/>
                <w:sz w:val="16"/>
                <w:szCs w:val="16"/>
                <w:lang w:val="it-IT"/>
              </w:rPr>
              <w:t>Enza (Reggio d</w:t>
            </w:r>
            <w:r w:rsidR="00874348" w:rsidRPr="00874348">
              <w:rPr>
                <w:rFonts w:ascii="Times New Roman" w:eastAsia="Times New Roman" w:hAnsi="Times New Roman" w:cs="Times New Roman"/>
                <w:sz w:val="16"/>
                <w:szCs w:val="16"/>
                <w:lang w:val="it-IT"/>
              </w:rPr>
              <w:t>’</w:t>
            </w:r>
            <w:r w:rsidRPr="00874348">
              <w:rPr>
                <w:rFonts w:ascii="Times New Roman" w:eastAsia="Times New Roman" w:hAnsi="Times New Roman" w:cs="Times New Roman"/>
                <w:sz w:val="16"/>
                <w:szCs w:val="16"/>
                <w:lang w:val="it-IT"/>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11/08/1965</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Campagnola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22/11/1938</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Poviglio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12/07/1953</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Campagnola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17/05/1964</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Scandiano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17/04/1943</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06/09/1937</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Rubiera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08/10/1966</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03/01/2001</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Campagnola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27/06/1930</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Novellara</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04/12/1952</w:t>
            </w:r>
          </w:p>
        </w:tc>
        <w:tc>
          <w:tcPr>
            <w:tcW w:w="499"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Novellara</w:t>
            </w:r>
          </w:p>
        </w:tc>
        <w:tc>
          <w:tcPr>
            <w:tcW w:w="119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20/12/1923</w:t>
            </w:r>
          </w:p>
        </w:tc>
        <w:tc>
          <w:tcPr>
            <w:tcW w:w="49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DB1734">
        <w:trPr>
          <w:cantSplit/>
        </w:trPr>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05/06/1948</w:t>
            </w:r>
          </w:p>
        </w:tc>
        <w:tc>
          <w:tcPr>
            <w:tcW w:w="499"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c>
          <w:tcPr>
            <w:tcW w:w="467" w:type="pct"/>
          </w:tcPr>
          <w:p w:rsidR="007B2095" w:rsidRPr="00874348" w:rsidRDefault="007B2095" w:rsidP="00874348">
            <w:pPr>
              <w:numPr>
                <w:ilvl w:val="0"/>
                <w:numId w:val="18"/>
              </w:numPr>
              <w:contextualSpacing/>
              <w:jc w:val="left"/>
              <w:rPr>
                <w:rFonts w:ascii="Times New Roman" w:eastAsia="Times New Roman" w:hAnsi="Times New Roman" w:cs="Times New Roman"/>
                <w:b/>
                <w:sz w:val="16"/>
                <w:szCs w:val="16"/>
                <w:lang w:val="fr-FR"/>
              </w:rPr>
            </w:pPr>
          </w:p>
        </w:tc>
        <w:tc>
          <w:tcPr>
            <w:tcW w:w="54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19/05/1956</w:t>
            </w:r>
          </w:p>
        </w:tc>
        <w:tc>
          <w:tcPr>
            <w:tcW w:w="499"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1198"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Procédure pendante</w:t>
            </w:r>
          </w:p>
        </w:tc>
        <w:tc>
          <w:tcPr>
            <w:tcW w:w="228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bl>
    <w:p w:rsidR="007B2095" w:rsidRPr="00874348" w:rsidRDefault="007B2095" w:rsidP="00874348">
      <w:pPr>
        <w:ind w:right="-580"/>
        <w:rPr>
          <w:rFonts w:ascii="Times New Roman" w:eastAsia="Times New Roman" w:hAnsi="Times New Roman" w:cs="Times New Roman"/>
          <w:b/>
          <w:sz w:val="16"/>
          <w:szCs w:val="16"/>
          <w:u w:val="single"/>
          <w:lang w:val="fr-FR"/>
        </w:rPr>
      </w:pPr>
    </w:p>
    <w:p w:rsidR="000E3E96" w:rsidRPr="00874348" w:rsidRDefault="000E3E96" w:rsidP="00874348">
      <w:pPr>
        <w:ind w:right="-580"/>
        <w:rPr>
          <w:rFonts w:ascii="Times New Roman" w:eastAsia="Times New Roman" w:hAnsi="Times New Roman" w:cs="Times New Roman"/>
          <w:b/>
          <w:sz w:val="16"/>
          <w:szCs w:val="16"/>
          <w:u w:val="single"/>
          <w:lang w:val="fr-FR"/>
        </w:rPr>
      </w:pPr>
    </w:p>
    <w:p w:rsidR="00385ABF" w:rsidRPr="00874348" w:rsidRDefault="007B2095" w:rsidP="00874348">
      <w:pPr>
        <w:keepNext/>
        <w:keepLines/>
        <w:ind w:left="-567" w:right="-580"/>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6.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13662/13 V.C. et six autres requérants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10/1/2013.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p>
    <w:tbl>
      <w:tblPr>
        <w:tblStyle w:val="ECHRListTable1"/>
        <w:tblW w:w="5226" w:type="pct"/>
        <w:tblInd w:w="-885" w:type="dxa"/>
        <w:tblLook w:val="05E0" w:firstRow="1" w:lastRow="1" w:firstColumn="1" w:lastColumn="1" w:noHBand="0" w:noVBand="1"/>
      </w:tblPr>
      <w:tblGrid>
        <w:gridCol w:w="600"/>
        <w:gridCol w:w="976"/>
        <w:gridCol w:w="1016"/>
        <w:gridCol w:w="1949"/>
        <w:gridCol w:w="1729"/>
        <w:gridCol w:w="1350"/>
        <w:gridCol w:w="3601"/>
        <w:gridCol w:w="1850"/>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36"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80"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4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752"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668" w:type="pct"/>
          </w:tcPr>
          <w:p w:rsidR="00385ABF"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tc>
        <w:tc>
          <w:tcPr>
            <w:tcW w:w="523"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384" w:type="pct"/>
          </w:tcPr>
          <w:p w:rsidR="00385ABF"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715"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36" w:type="pct"/>
          </w:tcPr>
          <w:p w:rsidR="007B2095" w:rsidRPr="00874348" w:rsidRDefault="007B2095" w:rsidP="00874348">
            <w:pPr>
              <w:numPr>
                <w:ilvl w:val="0"/>
                <w:numId w:val="19"/>
              </w:numPr>
              <w:contextualSpacing/>
              <w:jc w:val="left"/>
              <w:rPr>
                <w:rFonts w:ascii="Times New Roman" w:eastAsia="Times New Roman" w:hAnsi="Times New Roman" w:cs="Times New Roman"/>
                <w:b/>
                <w:sz w:val="16"/>
                <w:szCs w:val="16"/>
                <w:lang w:val="fr-FR"/>
              </w:rPr>
            </w:pPr>
          </w:p>
        </w:tc>
        <w:tc>
          <w:tcPr>
            <w:tcW w:w="380"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11/07/1972</w:t>
            </w:r>
          </w:p>
        </w:tc>
        <w:tc>
          <w:tcPr>
            <w:tcW w:w="34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Castelnuovo Magra (La Spezia)</w:t>
            </w:r>
          </w:p>
        </w:tc>
        <w:tc>
          <w:tcPr>
            <w:tcW w:w="7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29/6/2004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:10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p w:rsidR="007B2095" w:rsidRPr="00874348" w:rsidRDefault="007B2095" w:rsidP="00874348">
            <w:pPr>
              <w:jc w:val="left"/>
              <w:rPr>
                <w:rFonts w:ascii="Times New Roman" w:eastAsia="Times New Roman" w:hAnsi="Times New Roman" w:cs="Times New Roman"/>
                <w:sz w:val="16"/>
                <w:szCs w:val="16"/>
                <w:lang w:val="fr-FR"/>
              </w:rPr>
            </w:pP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8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 17 455 EUR conjointement pour tous les requérants des requêtes introduites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Scolamiero et Guadagni</w:t>
            </w:r>
          </w:p>
        </w:tc>
        <w:tc>
          <w:tcPr>
            <w:tcW w:w="7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6" w:type="pct"/>
          </w:tcPr>
          <w:p w:rsidR="007B2095" w:rsidRPr="00874348" w:rsidRDefault="007B2095" w:rsidP="00874348">
            <w:pPr>
              <w:numPr>
                <w:ilvl w:val="0"/>
                <w:numId w:val="19"/>
              </w:numPr>
              <w:contextualSpacing/>
              <w:jc w:val="left"/>
              <w:rPr>
                <w:rFonts w:ascii="Times New Roman" w:eastAsia="Times New Roman" w:hAnsi="Times New Roman" w:cs="Times New Roman"/>
                <w:b/>
                <w:sz w:val="16"/>
                <w:szCs w:val="16"/>
                <w:lang w:val="fr-FR"/>
              </w:rPr>
            </w:pPr>
          </w:p>
        </w:tc>
        <w:tc>
          <w:tcPr>
            <w:tcW w:w="380"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14/11/1974</w:t>
            </w:r>
          </w:p>
        </w:tc>
        <w:tc>
          <w:tcPr>
            <w:tcW w:w="34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7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8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6" w:type="pct"/>
          </w:tcPr>
          <w:p w:rsidR="007B2095" w:rsidRPr="00874348" w:rsidRDefault="007B2095" w:rsidP="00874348">
            <w:pPr>
              <w:numPr>
                <w:ilvl w:val="0"/>
                <w:numId w:val="19"/>
              </w:numPr>
              <w:contextualSpacing/>
              <w:jc w:val="left"/>
              <w:rPr>
                <w:rFonts w:ascii="Times New Roman" w:eastAsia="Times New Roman" w:hAnsi="Times New Roman" w:cs="Times New Roman"/>
                <w:b/>
                <w:sz w:val="16"/>
                <w:szCs w:val="16"/>
                <w:lang w:val="fr-FR"/>
              </w:rPr>
            </w:pPr>
          </w:p>
        </w:tc>
        <w:tc>
          <w:tcPr>
            <w:tcW w:w="380"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17/11/1976</w:t>
            </w:r>
          </w:p>
        </w:tc>
        <w:tc>
          <w:tcPr>
            <w:tcW w:w="34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7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8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rPr>
          <w:cantSplit/>
        </w:trPr>
        <w:tc>
          <w:tcPr>
            <w:tcW w:w="236" w:type="pct"/>
          </w:tcPr>
          <w:p w:rsidR="007B2095" w:rsidRPr="00874348" w:rsidRDefault="007B2095" w:rsidP="00874348">
            <w:pPr>
              <w:numPr>
                <w:ilvl w:val="0"/>
                <w:numId w:val="19"/>
              </w:numPr>
              <w:contextualSpacing/>
              <w:jc w:val="left"/>
              <w:rPr>
                <w:rFonts w:ascii="Times New Roman" w:eastAsia="Times New Roman" w:hAnsi="Times New Roman" w:cs="Times New Roman"/>
                <w:b/>
                <w:sz w:val="16"/>
                <w:szCs w:val="16"/>
                <w:lang w:val="fr-FR"/>
              </w:rPr>
            </w:pPr>
          </w:p>
        </w:tc>
        <w:tc>
          <w:tcPr>
            <w:tcW w:w="380"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14/08/1973</w:t>
            </w:r>
          </w:p>
        </w:tc>
        <w:tc>
          <w:tcPr>
            <w:tcW w:w="34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Varazze (Savone)</w:t>
            </w:r>
          </w:p>
        </w:tc>
        <w:tc>
          <w:tcPr>
            <w:tcW w:w="7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29/6/2004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8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6" w:type="pct"/>
          </w:tcPr>
          <w:p w:rsidR="007B2095" w:rsidRPr="00874348" w:rsidRDefault="007B2095" w:rsidP="00874348">
            <w:pPr>
              <w:numPr>
                <w:ilvl w:val="0"/>
                <w:numId w:val="19"/>
              </w:numPr>
              <w:contextualSpacing/>
              <w:jc w:val="left"/>
              <w:rPr>
                <w:rFonts w:ascii="Times New Roman" w:eastAsia="Times New Roman" w:hAnsi="Times New Roman" w:cs="Times New Roman"/>
                <w:b/>
                <w:sz w:val="16"/>
                <w:szCs w:val="16"/>
                <w:lang w:val="fr-FR"/>
              </w:rPr>
            </w:pPr>
          </w:p>
        </w:tc>
        <w:tc>
          <w:tcPr>
            <w:tcW w:w="380"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22/10/1939</w:t>
            </w:r>
          </w:p>
        </w:tc>
        <w:tc>
          <w:tcPr>
            <w:tcW w:w="34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7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8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6" w:type="pct"/>
          </w:tcPr>
          <w:p w:rsidR="007B2095" w:rsidRPr="00874348" w:rsidRDefault="007B2095" w:rsidP="00874348">
            <w:pPr>
              <w:numPr>
                <w:ilvl w:val="0"/>
                <w:numId w:val="19"/>
              </w:numPr>
              <w:contextualSpacing/>
              <w:jc w:val="left"/>
              <w:rPr>
                <w:rFonts w:ascii="Times New Roman" w:eastAsia="Times New Roman" w:hAnsi="Times New Roman" w:cs="Times New Roman"/>
                <w:b/>
                <w:sz w:val="16"/>
                <w:szCs w:val="16"/>
                <w:lang w:val="fr-FR"/>
              </w:rPr>
            </w:pPr>
          </w:p>
        </w:tc>
        <w:tc>
          <w:tcPr>
            <w:tcW w:w="380"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30/03/1961</w:t>
            </w:r>
          </w:p>
        </w:tc>
        <w:tc>
          <w:tcPr>
            <w:tcW w:w="34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Vico Equense (Naples)</w:t>
            </w:r>
          </w:p>
        </w:tc>
        <w:tc>
          <w:tcPr>
            <w:tcW w:w="7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8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6" w:type="pct"/>
          </w:tcPr>
          <w:p w:rsidR="007B2095" w:rsidRPr="00874348" w:rsidRDefault="007B2095" w:rsidP="00874348">
            <w:pPr>
              <w:numPr>
                <w:ilvl w:val="0"/>
                <w:numId w:val="19"/>
              </w:numPr>
              <w:contextualSpacing/>
              <w:jc w:val="left"/>
              <w:rPr>
                <w:rFonts w:ascii="Times New Roman" w:eastAsia="Times New Roman" w:hAnsi="Times New Roman" w:cs="Times New Roman"/>
                <w:b/>
                <w:sz w:val="16"/>
                <w:szCs w:val="16"/>
                <w:lang w:val="fr-FR"/>
              </w:rPr>
            </w:pPr>
          </w:p>
        </w:tc>
        <w:tc>
          <w:tcPr>
            <w:tcW w:w="380"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02/06/1963</w:t>
            </w:r>
          </w:p>
        </w:tc>
        <w:tc>
          <w:tcPr>
            <w:tcW w:w="34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75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8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0E3E96" w:rsidRPr="00874348" w:rsidRDefault="000E3E96" w:rsidP="00874348">
      <w:pPr>
        <w:keepNext/>
        <w:keepLines/>
        <w:ind w:left="-567" w:right="-578"/>
        <w:rPr>
          <w:rFonts w:ascii="Times New Roman" w:eastAsia="Times New Roman" w:hAnsi="Times New Roman" w:cs="Times New Roman"/>
          <w:b/>
          <w:sz w:val="16"/>
          <w:szCs w:val="16"/>
          <w:u w:val="single"/>
          <w:lang w:val="fr-FR"/>
        </w:rPr>
      </w:pPr>
    </w:p>
    <w:p w:rsidR="007B2095" w:rsidRPr="00874348" w:rsidRDefault="007B2095" w:rsidP="00874348">
      <w:pPr>
        <w:keepNext/>
        <w:ind w:left="-567" w:right="-578"/>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7.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13837/13 D.C. et quatre autres requérants</w:t>
      </w:r>
    </w:p>
    <w:p w:rsidR="00385ABF" w:rsidRPr="00874348" w:rsidRDefault="007B2095" w:rsidP="00874348">
      <w:pPr>
        <w:keepNext/>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11/1/2013.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 à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exception de</w:t>
      </w:r>
      <w:r w:rsidR="00874348"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F</w:t>
      </w:r>
      <w:r w:rsidR="00BE7CA3"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 S</w:t>
      </w:r>
      <w:r w:rsidR="00BE7CA3"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3 dans la liste ci-dessous) lequel est représenté par M</w:t>
      </w:r>
      <w:r w:rsidRPr="00874348">
        <w:rPr>
          <w:rFonts w:ascii="Times New Roman" w:eastAsia="Times New Roman" w:hAnsi="Times New Roman" w:cs="Times New Roman"/>
          <w:sz w:val="16"/>
          <w:szCs w:val="16"/>
          <w:vertAlign w:val="superscript"/>
          <w:lang w:val="fr-FR"/>
        </w:rPr>
        <w:t>e</w:t>
      </w:r>
      <w:r w:rsidRPr="00874348">
        <w:rPr>
          <w:rFonts w:ascii="Times New Roman" w:eastAsia="Times New Roman" w:hAnsi="Times New Roman" w:cs="Times New Roman"/>
          <w:sz w:val="16"/>
          <w:szCs w:val="16"/>
          <w:lang w:val="fr-FR"/>
        </w:rPr>
        <w:t xml:space="preserve"> Emilio ROBOTTI, avocat à Gênes.</w:t>
      </w:r>
    </w:p>
    <w:p w:rsidR="007B2095" w:rsidRPr="00874348" w:rsidRDefault="007B2095" w:rsidP="00874348">
      <w:pPr>
        <w:keepNext/>
        <w:ind w:left="-567" w:right="-578"/>
        <w:rPr>
          <w:rFonts w:ascii="Times New Roman" w:eastAsia="Times New Roman" w:hAnsi="Times New Roman" w:cs="Times New Roman"/>
          <w:sz w:val="16"/>
          <w:szCs w:val="16"/>
          <w:lang w:val="fr-FR"/>
        </w:rPr>
      </w:pPr>
    </w:p>
    <w:tbl>
      <w:tblPr>
        <w:tblStyle w:val="ECHRListTable1"/>
        <w:tblW w:w="5199" w:type="pct"/>
        <w:tblInd w:w="-885" w:type="dxa"/>
        <w:tblLayout w:type="fixed"/>
        <w:tblLook w:val="05E0" w:firstRow="1" w:lastRow="1" w:firstColumn="1" w:lastColumn="1" w:noHBand="0" w:noVBand="1"/>
      </w:tblPr>
      <w:tblGrid>
        <w:gridCol w:w="627"/>
        <w:gridCol w:w="876"/>
        <w:gridCol w:w="874"/>
        <w:gridCol w:w="2000"/>
        <w:gridCol w:w="1753"/>
        <w:gridCol w:w="1373"/>
        <w:gridCol w:w="3264"/>
        <w:gridCol w:w="2237"/>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41" w:type="pct"/>
          </w:tcPr>
          <w:p w:rsidR="007B2095" w:rsidRPr="00874348" w:rsidRDefault="007B2095" w:rsidP="00874348">
            <w:pPr>
              <w:keepNex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37" w:type="pct"/>
          </w:tcPr>
          <w:p w:rsidR="007B2095" w:rsidRPr="00874348" w:rsidRDefault="007B2095" w:rsidP="00874348">
            <w:pPr>
              <w:keepNext/>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36" w:type="pct"/>
          </w:tcPr>
          <w:p w:rsidR="007B2095" w:rsidRPr="00874348" w:rsidRDefault="007B2095" w:rsidP="00874348">
            <w:pPr>
              <w:keepNex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769"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674"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p w:rsidR="007B2095" w:rsidRPr="00874348" w:rsidRDefault="007B2095" w:rsidP="00874348">
            <w:pPr>
              <w:keepNext/>
              <w:jc w:val="left"/>
              <w:rPr>
                <w:rFonts w:ascii="Times New Roman" w:eastAsia="Times New Roman" w:hAnsi="Times New Roman" w:cs="Times New Roman"/>
                <w:sz w:val="16"/>
                <w:szCs w:val="16"/>
                <w:lang w:val="fr-FR"/>
              </w:rPr>
            </w:pPr>
          </w:p>
        </w:tc>
        <w:tc>
          <w:tcPr>
            <w:tcW w:w="528"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255" w:type="pct"/>
          </w:tcPr>
          <w:p w:rsidR="00385ABF"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keepNext/>
              <w:jc w:val="left"/>
              <w:rPr>
                <w:rFonts w:ascii="Times New Roman" w:eastAsia="Times New Roman" w:hAnsi="Times New Roman" w:cs="Times New Roman"/>
                <w:sz w:val="16"/>
                <w:szCs w:val="16"/>
                <w:lang w:val="fr-FR"/>
              </w:rPr>
            </w:pPr>
          </w:p>
        </w:tc>
        <w:tc>
          <w:tcPr>
            <w:tcW w:w="861"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41" w:type="pct"/>
          </w:tcPr>
          <w:p w:rsidR="007B2095" w:rsidRPr="00874348" w:rsidRDefault="007B2095" w:rsidP="00874348">
            <w:pPr>
              <w:keepNext/>
              <w:numPr>
                <w:ilvl w:val="0"/>
                <w:numId w:val="20"/>
              </w:numPr>
              <w:contextualSpacing/>
              <w:jc w:val="left"/>
              <w:rPr>
                <w:rFonts w:ascii="Times New Roman" w:eastAsia="Times New Roman" w:hAnsi="Times New Roman" w:cs="Times New Roman"/>
                <w:b/>
                <w:sz w:val="16"/>
                <w:szCs w:val="16"/>
                <w:lang w:val="fr-FR"/>
              </w:rPr>
            </w:pPr>
          </w:p>
        </w:tc>
        <w:tc>
          <w:tcPr>
            <w:tcW w:w="337" w:type="pct"/>
          </w:tcPr>
          <w:p w:rsidR="007B2095" w:rsidRPr="00874348" w:rsidRDefault="007B2095" w:rsidP="00874348">
            <w:pPr>
              <w:keepNext/>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09/06/1969</w:t>
            </w:r>
          </w:p>
        </w:tc>
        <w:tc>
          <w:tcPr>
            <w:tcW w:w="336" w:type="pct"/>
          </w:tcPr>
          <w:p w:rsidR="007B2095" w:rsidRPr="00874348" w:rsidRDefault="007B2095" w:rsidP="00874348">
            <w:pPr>
              <w:keepNex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Imperia</w:t>
            </w:r>
          </w:p>
        </w:tc>
        <w:tc>
          <w:tcPr>
            <w:tcW w:w="769"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4"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keepNext/>
              <w:rPr>
                <w:rFonts w:ascii="Times New Roman" w:eastAsia="Times New Roman" w:hAnsi="Times New Roman" w:cs="Times New Roman"/>
                <w:sz w:val="16"/>
                <w:szCs w:val="16"/>
                <w:lang w:val="fr-FR"/>
              </w:rPr>
            </w:pPr>
          </w:p>
        </w:tc>
        <w:tc>
          <w:tcPr>
            <w:tcW w:w="528" w:type="pct"/>
          </w:tcPr>
          <w:p w:rsidR="007B2095" w:rsidRPr="00874348" w:rsidRDefault="007B2095" w:rsidP="00874348">
            <w:pPr>
              <w:keepNex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keepNex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55"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861"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3 héritiers)</w:t>
            </w:r>
          </w:p>
        </w:tc>
      </w:tr>
      <w:tr w:rsidR="007B2095" w:rsidRPr="00874348" w:rsidTr="000E3E96">
        <w:tc>
          <w:tcPr>
            <w:tcW w:w="241" w:type="pct"/>
          </w:tcPr>
          <w:p w:rsidR="007B2095" w:rsidRPr="00874348" w:rsidRDefault="007B2095" w:rsidP="00874348">
            <w:pPr>
              <w:keepNext/>
              <w:numPr>
                <w:ilvl w:val="0"/>
                <w:numId w:val="20"/>
              </w:numPr>
              <w:contextualSpacing/>
              <w:jc w:val="left"/>
              <w:rPr>
                <w:rFonts w:ascii="Times New Roman" w:eastAsia="Times New Roman" w:hAnsi="Times New Roman" w:cs="Times New Roman"/>
                <w:b/>
                <w:sz w:val="16"/>
                <w:szCs w:val="16"/>
                <w:lang w:val="fr-FR"/>
              </w:rPr>
            </w:pPr>
          </w:p>
        </w:tc>
        <w:tc>
          <w:tcPr>
            <w:tcW w:w="337" w:type="pct"/>
          </w:tcPr>
          <w:p w:rsidR="007B2095" w:rsidRPr="00874348" w:rsidRDefault="007B2095" w:rsidP="00874348">
            <w:pPr>
              <w:keepNext/>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06/09/1963</w:t>
            </w:r>
          </w:p>
        </w:tc>
        <w:tc>
          <w:tcPr>
            <w:tcW w:w="336" w:type="pct"/>
          </w:tcPr>
          <w:p w:rsidR="007B2095" w:rsidRPr="00874348" w:rsidRDefault="007B2095" w:rsidP="00874348">
            <w:pPr>
              <w:keepNex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769"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4"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keepNext/>
              <w:rPr>
                <w:rFonts w:ascii="Times New Roman" w:eastAsia="Times New Roman" w:hAnsi="Times New Roman" w:cs="Times New Roman"/>
                <w:sz w:val="16"/>
                <w:szCs w:val="16"/>
                <w:lang w:val="fr-FR"/>
              </w:rPr>
            </w:pPr>
          </w:p>
        </w:tc>
        <w:tc>
          <w:tcPr>
            <w:tcW w:w="528" w:type="pct"/>
          </w:tcPr>
          <w:p w:rsidR="007B2095" w:rsidRPr="00874348" w:rsidRDefault="007B2095" w:rsidP="00874348">
            <w:pPr>
              <w:keepNex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keepNex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55"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861" w:type="pct"/>
          </w:tcPr>
          <w:p w:rsidR="007B2095" w:rsidRPr="00874348" w:rsidRDefault="007B2095" w:rsidP="00874348">
            <w:pPr>
              <w:keepNext/>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1" w:type="pct"/>
          </w:tcPr>
          <w:p w:rsidR="007B2095" w:rsidRPr="00874348" w:rsidRDefault="007B2095" w:rsidP="00874348">
            <w:pPr>
              <w:numPr>
                <w:ilvl w:val="0"/>
                <w:numId w:val="20"/>
              </w:numPr>
              <w:contextualSpacing/>
              <w:jc w:val="left"/>
              <w:rPr>
                <w:rFonts w:ascii="Times New Roman" w:eastAsia="Times New Roman" w:hAnsi="Times New Roman" w:cs="Times New Roman"/>
                <w:b/>
                <w:sz w:val="16"/>
                <w:szCs w:val="16"/>
                <w:lang w:val="fr-FR"/>
              </w:rPr>
            </w:pP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26/05/1966</w:t>
            </w:r>
          </w:p>
        </w:tc>
        <w:tc>
          <w:tcPr>
            <w:tcW w:w="336"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7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52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5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86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1" w:type="pct"/>
          </w:tcPr>
          <w:p w:rsidR="007B2095" w:rsidRPr="00874348" w:rsidRDefault="007B2095" w:rsidP="00874348">
            <w:pPr>
              <w:numPr>
                <w:ilvl w:val="0"/>
                <w:numId w:val="20"/>
              </w:numPr>
              <w:contextualSpacing/>
              <w:jc w:val="left"/>
              <w:rPr>
                <w:rFonts w:ascii="Times New Roman" w:eastAsia="Times New Roman" w:hAnsi="Times New Roman" w:cs="Times New Roman"/>
                <w:b/>
                <w:sz w:val="16"/>
                <w:szCs w:val="16"/>
                <w:lang w:val="fr-FR"/>
              </w:rPr>
            </w:pP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08/09/1941</w:t>
            </w:r>
          </w:p>
        </w:tc>
        <w:tc>
          <w:tcPr>
            <w:tcW w:w="336"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Imperia</w:t>
            </w:r>
          </w:p>
        </w:tc>
        <w:tc>
          <w:tcPr>
            <w:tcW w:w="7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52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5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86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3 héritiers)</w:t>
            </w:r>
          </w:p>
        </w:tc>
      </w:tr>
      <w:tr w:rsidR="007B2095" w:rsidRPr="00874348" w:rsidTr="000E3E96">
        <w:trPr>
          <w:cantSplit/>
        </w:trPr>
        <w:tc>
          <w:tcPr>
            <w:tcW w:w="241" w:type="pct"/>
          </w:tcPr>
          <w:p w:rsidR="007B2095" w:rsidRPr="00874348" w:rsidRDefault="007B2095" w:rsidP="00874348">
            <w:pPr>
              <w:numPr>
                <w:ilvl w:val="0"/>
                <w:numId w:val="20"/>
              </w:numPr>
              <w:contextualSpacing/>
              <w:jc w:val="left"/>
              <w:rPr>
                <w:rFonts w:ascii="Times New Roman" w:eastAsia="Times New Roman" w:hAnsi="Times New Roman" w:cs="Times New Roman"/>
                <w:b/>
                <w:sz w:val="16"/>
                <w:szCs w:val="16"/>
                <w:lang w:val="fr-FR"/>
              </w:rPr>
            </w:pPr>
          </w:p>
        </w:tc>
        <w:tc>
          <w:tcPr>
            <w:tcW w:w="33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24/02/1965</w:t>
            </w:r>
          </w:p>
        </w:tc>
        <w:tc>
          <w:tcPr>
            <w:tcW w:w="336"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Imperia</w:t>
            </w:r>
          </w:p>
        </w:tc>
        <w:tc>
          <w:tcPr>
            <w:tcW w:w="7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52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5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86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3 héritiers)</w:t>
            </w:r>
          </w:p>
        </w:tc>
      </w:tr>
    </w:tbl>
    <w:p w:rsidR="007B2095" w:rsidRPr="00874348" w:rsidRDefault="007B2095" w:rsidP="00874348">
      <w:pPr>
        <w:rPr>
          <w:rFonts w:ascii="Times New Roman" w:eastAsia="Times New Roman" w:hAnsi="Times New Roman" w:cs="Times New Roman"/>
          <w:sz w:val="16"/>
          <w:szCs w:val="16"/>
          <w:lang w:val="fr-FR"/>
        </w:rPr>
      </w:pPr>
    </w:p>
    <w:p w:rsidR="007B2095" w:rsidRPr="00874348" w:rsidRDefault="007B2095" w:rsidP="00874348">
      <w:pPr>
        <w:keepNext/>
        <w:keepLines/>
        <w:ind w:left="-567" w:right="-580"/>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8.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22933/13 V.C. et quatre autres requérants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11/1/2013.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p>
    <w:tbl>
      <w:tblPr>
        <w:tblStyle w:val="ECHRListTable1"/>
        <w:tblW w:w="5150" w:type="pct"/>
        <w:tblInd w:w="-885" w:type="dxa"/>
        <w:tblLayout w:type="fixed"/>
        <w:tblLook w:val="05E0" w:firstRow="1" w:lastRow="1" w:firstColumn="1" w:lastColumn="1" w:noHBand="0" w:noVBand="1"/>
      </w:tblPr>
      <w:tblGrid>
        <w:gridCol w:w="623"/>
        <w:gridCol w:w="878"/>
        <w:gridCol w:w="871"/>
        <w:gridCol w:w="1881"/>
        <w:gridCol w:w="1749"/>
        <w:gridCol w:w="1373"/>
        <w:gridCol w:w="3504"/>
        <w:gridCol w:w="2002"/>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42"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41"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38"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73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679"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533"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360" w:type="pct"/>
          </w:tcPr>
          <w:p w:rsidR="00385ABF"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777"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42" w:type="pct"/>
          </w:tcPr>
          <w:p w:rsidR="007B2095" w:rsidRPr="00874348" w:rsidRDefault="007B2095" w:rsidP="00874348">
            <w:pPr>
              <w:numPr>
                <w:ilvl w:val="0"/>
                <w:numId w:val="21"/>
              </w:numPr>
              <w:contextualSpacing/>
              <w:jc w:val="left"/>
              <w:rPr>
                <w:rFonts w:ascii="Times New Roman" w:eastAsia="Times New Roman" w:hAnsi="Times New Roman" w:cs="Times New Roman"/>
                <w:b/>
                <w:sz w:val="16"/>
                <w:szCs w:val="16"/>
                <w:lang w:val="fr-FR"/>
              </w:rPr>
            </w:pPr>
          </w:p>
        </w:tc>
        <w:tc>
          <w:tcPr>
            <w:tcW w:w="34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01/05/1955</w:t>
            </w:r>
          </w:p>
        </w:tc>
        <w:tc>
          <w:tcPr>
            <w:tcW w:w="33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Caserte</w:t>
            </w:r>
          </w:p>
        </w:tc>
        <w:tc>
          <w:tcPr>
            <w:tcW w:w="73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3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7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1"/>
              </w:numPr>
              <w:contextualSpacing/>
              <w:jc w:val="left"/>
              <w:rPr>
                <w:rFonts w:ascii="Times New Roman" w:eastAsia="Times New Roman" w:hAnsi="Times New Roman" w:cs="Times New Roman"/>
                <w:b/>
                <w:sz w:val="16"/>
                <w:szCs w:val="16"/>
                <w:lang w:val="fr-FR"/>
              </w:rPr>
            </w:pPr>
          </w:p>
        </w:tc>
        <w:tc>
          <w:tcPr>
            <w:tcW w:w="34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19/06/1960</w:t>
            </w:r>
          </w:p>
        </w:tc>
        <w:tc>
          <w:tcPr>
            <w:tcW w:w="33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73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3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777" w:type="pct"/>
          </w:tcPr>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rPr>
          <w:cantSplit/>
        </w:trPr>
        <w:tc>
          <w:tcPr>
            <w:tcW w:w="242" w:type="pct"/>
          </w:tcPr>
          <w:p w:rsidR="007B2095" w:rsidRPr="00874348" w:rsidRDefault="007B2095" w:rsidP="00874348">
            <w:pPr>
              <w:numPr>
                <w:ilvl w:val="0"/>
                <w:numId w:val="21"/>
              </w:numPr>
              <w:contextualSpacing/>
              <w:jc w:val="left"/>
              <w:rPr>
                <w:rFonts w:ascii="Times New Roman" w:eastAsia="Times New Roman" w:hAnsi="Times New Roman" w:cs="Times New Roman"/>
                <w:b/>
                <w:sz w:val="16"/>
                <w:szCs w:val="16"/>
                <w:lang w:val="fr-FR"/>
              </w:rPr>
            </w:pPr>
          </w:p>
        </w:tc>
        <w:tc>
          <w:tcPr>
            <w:tcW w:w="34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27/05/1946</w:t>
            </w:r>
          </w:p>
        </w:tc>
        <w:tc>
          <w:tcPr>
            <w:tcW w:w="33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Roccarainola (Naples)</w:t>
            </w:r>
          </w:p>
        </w:tc>
        <w:tc>
          <w:tcPr>
            <w:tcW w:w="73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3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7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1"/>
              </w:numPr>
              <w:contextualSpacing/>
              <w:jc w:val="left"/>
              <w:rPr>
                <w:rFonts w:ascii="Times New Roman" w:eastAsia="Times New Roman" w:hAnsi="Times New Roman" w:cs="Times New Roman"/>
                <w:b/>
                <w:sz w:val="16"/>
                <w:szCs w:val="16"/>
                <w:lang w:val="fr-FR"/>
              </w:rPr>
            </w:pPr>
          </w:p>
        </w:tc>
        <w:tc>
          <w:tcPr>
            <w:tcW w:w="34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20/02/1989</w:t>
            </w:r>
          </w:p>
        </w:tc>
        <w:tc>
          <w:tcPr>
            <w:tcW w:w="33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Massa di Somma (Naples)</w:t>
            </w:r>
          </w:p>
        </w:tc>
        <w:tc>
          <w:tcPr>
            <w:tcW w:w="73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16/6/2006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tc>
        <w:tc>
          <w:tcPr>
            <w:tcW w:w="67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jc w:val="left"/>
              <w:rPr>
                <w:rFonts w:ascii="Times New Roman" w:eastAsia="Times New Roman" w:hAnsi="Times New Roman" w:cs="Times New Roman"/>
                <w:sz w:val="16"/>
                <w:szCs w:val="16"/>
                <w:lang w:val="fr-FR"/>
              </w:rPr>
            </w:pPr>
          </w:p>
        </w:tc>
        <w:tc>
          <w:tcPr>
            <w:tcW w:w="53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7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0E3E96">
        <w:tc>
          <w:tcPr>
            <w:tcW w:w="242" w:type="pct"/>
          </w:tcPr>
          <w:p w:rsidR="007B2095" w:rsidRPr="00874348" w:rsidRDefault="007B2095" w:rsidP="00874348">
            <w:pPr>
              <w:numPr>
                <w:ilvl w:val="0"/>
                <w:numId w:val="21"/>
              </w:numPr>
              <w:contextualSpacing/>
              <w:jc w:val="left"/>
              <w:rPr>
                <w:rFonts w:ascii="Times New Roman" w:eastAsia="Times New Roman" w:hAnsi="Times New Roman" w:cs="Times New Roman"/>
                <w:b/>
                <w:sz w:val="16"/>
                <w:szCs w:val="16"/>
                <w:lang w:val="fr-FR"/>
              </w:rPr>
            </w:pPr>
          </w:p>
        </w:tc>
        <w:tc>
          <w:tcPr>
            <w:tcW w:w="34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28/08/1962</w:t>
            </w:r>
          </w:p>
        </w:tc>
        <w:tc>
          <w:tcPr>
            <w:tcW w:w="338"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Falciano di Caserte (Caserte)</w:t>
            </w:r>
          </w:p>
        </w:tc>
        <w:tc>
          <w:tcPr>
            <w:tcW w:w="73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3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77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7B2095" w:rsidRPr="00874348" w:rsidRDefault="007B2095" w:rsidP="00874348">
      <w:pPr>
        <w:ind w:left="-567" w:right="-580"/>
        <w:rPr>
          <w:rFonts w:ascii="Times New Roman" w:eastAsia="Times New Roman" w:hAnsi="Times New Roman" w:cs="Times New Roman"/>
          <w:b/>
          <w:sz w:val="16"/>
          <w:szCs w:val="16"/>
          <w:u w:val="single"/>
          <w:lang w:val="fr-FR"/>
        </w:rPr>
      </w:pPr>
    </w:p>
    <w:p w:rsidR="007B2095" w:rsidRPr="00874348" w:rsidRDefault="007B2095" w:rsidP="00874348">
      <w:pPr>
        <w:keepNext/>
        <w:keepLines/>
        <w:ind w:left="-567" w:right="-580"/>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lastRenderedPageBreak/>
        <w:t>9.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13668/13 G.A. et soixante-dix-sept autres requérants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10/1/2013.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p>
    <w:tbl>
      <w:tblPr>
        <w:tblStyle w:val="ECHRListTable1"/>
        <w:tblW w:w="5231" w:type="pct"/>
        <w:tblInd w:w="-885" w:type="dxa"/>
        <w:tblLayout w:type="fixed"/>
        <w:tblLook w:val="05E0" w:firstRow="1" w:lastRow="1" w:firstColumn="1" w:lastColumn="1" w:noHBand="0" w:noVBand="1"/>
      </w:tblPr>
      <w:tblGrid>
        <w:gridCol w:w="626"/>
        <w:gridCol w:w="1077"/>
        <w:gridCol w:w="1003"/>
        <w:gridCol w:w="1757"/>
        <w:gridCol w:w="1753"/>
        <w:gridCol w:w="1376"/>
        <w:gridCol w:w="3760"/>
        <w:gridCol w:w="1732"/>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39" w:type="pct"/>
          </w:tcPr>
          <w:p w:rsidR="007B2095" w:rsidRPr="00874348" w:rsidRDefault="007B2095" w:rsidP="00874348">
            <w:pPr>
              <w:keepNext/>
              <w:keepLines/>
              <w:ind w:right="1514"/>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p>
        </w:tc>
        <w:tc>
          <w:tcPr>
            <w:tcW w:w="411"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83" w:type="pct"/>
          </w:tcPr>
          <w:p w:rsidR="007B2095" w:rsidRPr="00874348" w:rsidRDefault="007B2095" w:rsidP="00874348">
            <w:pPr>
              <w:keepNext/>
              <w:keepLines/>
              <w:tabs>
                <w:tab w:val="left" w:pos="2212"/>
              </w:tabs>
              <w:ind w:right="33"/>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671"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67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437" w:type="pct"/>
          </w:tcPr>
          <w:p w:rsidR="00385ABF"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662"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0E3E96" w:rsidRPr="00874348" w:rsidTr="000E3E96">
        <w:tc>
          <w:tcPr>
            <w:tcW w:w="239" w:type="pct"/>
          </w:tcPr>
          <w:p w:rsidR="007B2095" w:rsidRPr="00874348" w:rsidRDefault="007B2095" w:rsidP="00874348">
            <w:pPr>
              <w:keepNext/>
              <w:keepLines/>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02/07/1963</w:t>
            </w:r>
          </w:p>
        </w:tc>
        <w:tc>
          <w:tcPr>
            <w:tcW w:w="38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Sant</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Antonio Abate</w:t>
            </w:r>
          </w:p>
        </w:tc>
        <w:tc>
          <w:tcPr>
            <w:tcW w:w="671"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 10/5/2006</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27/5/2007</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appel 14/1/2013</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tc>
        <w:tc>
          <w:tcPr>
            <w:tcW w:w="67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7 mois</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0E3E96" w:rsidRPr="00874348" w:rsidTr="000E3E96">
        <w:tc>
          <w:tcPr>
            <w:tcW w:w="239" w:type="pct"/>
          </w:tcPr>
          <w:p w:rsidR="007B2095" w:rsidRPr="00874348" w:rsidRDefault="007B2095" w:rsidP="00874348">
            <w:pPr>
              <w:keepNext/>
              <w:keepLines/>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19/03/1939</w:t>
            </w:r>
          </w:p>
        </w:tc>
        <w:tc>
          <w:tcPr>
            <w:tcW w:w="38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Giugliano in Campania (Naples)</w:t>
            </w:r>
          </w:p>
        </w:tc>
        <w:tc>
          <w:tcPr>
            <w:tcW w:w="671"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12/11/1945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Aversa (Caserte)</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19/06/1960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19/01/1930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8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22/01/1955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Casagiove (Caserte)</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30/03/1962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Terzigno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appel 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9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10/05/1959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05/05/1963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Pollena Trocchia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10/6/2005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19/2/2010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25/10/1940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12/12/2007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8/3/2010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27/06/1966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25/5/2005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7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20/07/1939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28/09/1960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Pompéi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23/01/1972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9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08/08/1949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Boscotrecase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23/6/2005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06/09/1974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Fontanarosa (Avellino)</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20/05/1954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Marigliano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14/12/2010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03/12/1946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Giuseppe Vesuviano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9/10/2007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28/9/2009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appel à une date non précisée de 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07/12/1961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16/11/2006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11/2/2010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22/09/1963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Oliveto Citra (Avellino)</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27/09/1974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08/07/1943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02/03/1972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Aversa (Caserte)</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7/1/2010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08/05/1958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Qualiano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11/03/1966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Nola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18/12/1976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30/06/1989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526"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28/02/1938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Aversa (Caserte)</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27/01/1984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14/08/1939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Portici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26/08/1972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Quarto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09/10/1986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Pimonte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9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29/07/1984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24/03/1952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Giugliano in Campania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10/12/2009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12/02/1954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Quarto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17/07/1938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Giugliano in Campania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06/02/1946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Melito di Naples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10/12/2009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30/04/1955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Morra de Sanctis (Avellino)</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17/05/1967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15/07/1981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Turin</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30/05/1967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23/08/1938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Marano di Naples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05/08/1941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28/01/1942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02/03/1944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Pomigliano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arco,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10/12/2009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17/09/1987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Calvizzano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24/02/1947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25/9/2007</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première instance à une date non précisée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appel en 2012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03/03/1970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08/12/1943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Tufino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27/05/1955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Pozzuoli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Introduite le 16/11/2006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26/2/2010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29/01/1970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Quarto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14/02/1981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Villaricca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19/04/1933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26/08/1963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Torre del Greco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09/06/1963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Massa Lubrense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11/10/1970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Pomigliano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Arco,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3/3/2006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29/3/2010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9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12/10/1957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Poggiomarino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06/02/1980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Caserte</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23/03/1955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01/10/1987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Caivano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25/9/2007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25/1/2010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09/06/1936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Pozzuoli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18/08/1959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28/10/1947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24/4/2006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8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05/03/1942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23/03/1974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31/10/1961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21/08/1946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Acerra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33355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01/07/1976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06/06/1944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22/04/1980</w:t>
            </w:r>
          </w:p>
        </w:tc>
        <w:tc>
          <w:tcPr>
            <w:tcW w:w="383"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Mugnano del Cardinale (Avellino)</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5/11/2007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12/4/2010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AB1B1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12/08/1939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20/03/1938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pas de demande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21/03/1947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Frignano (Caserte)</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AB1B1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13/04/1985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Piscinola-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3/7/2006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4/11/2010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07/08/1939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Pozzuoli (NA)</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25/9/2007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20/5/2010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31/12/1938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Torre Annunziata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0E3E96" w:rsidRPr="00874348" w:rsidTr="00AB1B15">
        <w:trPr>
          <w:cantSplit/>
        </w:trPr>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21/03/1961</w:t>
            </w:r>
          </w:p>
        </w:tc>
        <w:tc>
          <w:tcPr>
            <w:tcW w:w="383"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Nicola La Strada (Caserte)</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10/9/2007</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déposée le 23/3/2011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2/5/2013</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0E3E96" w:rsidRPr="00874348" w:rsidTr="000E3E96">
        <w:tc>
          <w:tcPr>
            <w:tcW w:w="239" w:type="pct"/>
          </w:tcPr>
          <w:p w:rsidR="007B2095" w:rsidRPr="00874348" w:rsidRDefault="007B2095" w:rsidP="00874348">
            <w:pPr>
              <w:numPr>
                <w:ilvl w:val="0"/>
                <w:numId w:val="22"/>
              </w:numPr>
              <w:ind w:right="1514"/>
              <w:contextualSpacing/>
              <w:jc w:val="left"/>
              <w:rPr>
                <w:rFonts w:ascii="Times New Roman" w:eastAsia="Times New Roman" w:hAnsi="Times New Roman" w:cs="Times New Roman"/>
                <w:b/>
                <w:sz w:val="16"/>
                <w:szCs w:val="16"/>
                <w:lang w:val="fr-FR"/>
              </w:rPr>
            </w:pPr>
          </w:p>
        </w:tc>
        <w:tc>
          <w:tcPr>
            <w:tcW w:w="411"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07/10/1961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Marigliano (Naples)</w:t>
            </w:r>
          </w:p>
        </w:tc>
        <w:tc>
          <w:tcPr>
            <w:tcW w:w="67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7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52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43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7B2095" w:rsidRPr="00874348" w:rsidRDefault="007B2095" w:rsidP="00874348">
      <w:pPr>
        <w:keepNext/>
        <w:keepLines/>
        <w:ind w:left="-567" w:right="-578"/>
        <w:rPr>
          <w:rFonts w:ascii="Times New Roman" w:eastAsia="Times New Roman" w:hAnsi="Times New Roman" w:cs="Times New Roman"/>
          <w:b/>
          <w:sz w:val="16"/>
          <w:szCs w:val="16"/>
          <w:u w:val="single"/>
          <w:lang w:val="fr-FR"/>
        </w:rPr>
      </w:pPr>
    </w:p>
    <w:p w:rsidR="007B2095" w:rsidRPr="00874348" w:rsidRDefault="007B2095" w:rsidP="00874348">
      <w:pPr>
        <w:keepNext/>
        <w:keepLines/>
        <w:ind w:left="-567" w:right="-578"/>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10.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13657/13 M.A. et trente-huit autres requérants</w:t>
      </w:r>
    </w:p>
    <w:p w:rsidR="007B2095" w:rsidRPr="00874348" w:rsidRDefault="007B2095" w:rsidP="00874348">
      <w:pPr>
        <w:keepNext/>
        <w:keepLines/>
        <w:ind w:left="-567" w:right="-578"/>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10/1/2013.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p>
    <w:tbl>
      <w:tblPr>
        <w:tblStyle w:val="ECHRListTable1"/>
        <w:tblW w:w="5153" w:type="pct"/>
        <w:tblInd w:w="-885" w:type="dxa"/>
        <w:tblLook w:val="05E0" w:firstRow="1" w:lastRow="1" w:firstColumn="1" w:lastColumn="1" w:noHBand="0" w:noVBand="1"/>
      </w:tblPr>
      <w:tblGrid>
        <w:gridCol w:w="599"/>
        <w:gridCol w:w="945"/>
        <w:gridCol w:w="981"/>
        <w:gridCol w:w="2220"/>
        <w:gridCol w:w="1597"/>
        <w:gridCol w:w="1849"/>
        <w:gridCol w:w="2978"/>
        <w:gridCol w:w="1720"/>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37"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3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8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624"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160"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jc w:val="left"/>
              <w:rPr>
                <w:rFonts w:ascii="Times New Roman" w:eastAsia="Times New Roman" w:hAnsi="Times New Roman" w:cs="Times New Roman"/>
                <w:sz w:val="16"/>
                <w:szCs w:val="16"/>
                <w:lang w:val="fr-FR"/>
              </w:rPr>
            </w:pP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37" w:type="pct"/>
          </w:tcPr>
          <w:p w:rsidR="007B2095" w:rsidRPr="00874348" w:rsidRDefault="007B2095" w:rsidP="00874348">
            <w:pPr>
              <w:keepNext/>
              <w:keepLines/>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07/06/1964</w:t>
            </w:r>
          </w:p>
        </w:tc>
        <w:tc>
          <w:tcPr>
            <w:tcW w:w="38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Albissola Marina (Savone)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keepNext/>
              <w:keepLines/>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25/09/1966</w:t>
            </w:r>
          </w:p>
        </w:tc>
        <w:tc>
          <w:tcPr>
            <w:tcW w:w="383"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Tovo S. Giacomo (Savone)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keepNext/>
              <w:keepLines/>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 (pour son compte) 413 162,52 EUR (en qualité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héritier)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17/03/1940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Cogorno (Gênes)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19/05/1969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Imperia</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18/06/1975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05/02/1975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La Spezia</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01/10/1966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09/06/1975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AB1B15">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24/05/1974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18/01/1970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SanRemo (Imperia)</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28/10/1972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Ancône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22/12/2007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10/2/2010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trHeight w:val="127"/>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03/01/1963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AB1B15">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17/04/1962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15/10/1965</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413 162,15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rPr>
          <w:trHeight w:val="277"/>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28/10/1982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26/07/1972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Mauro Torinese (Turin)</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27/01/1973</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Ventimiglia</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31/07/1970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Rapallo (Gênes)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08/02/1971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Cipriano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Aversa (Caserte)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07/05/1966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Livourne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31/01/1969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19/02/1972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29/05/1968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Albissola Superiore (Savone)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22/10/1966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26/09/1972</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Turin</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23/09/1949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31/5/2007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9/6/2010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09/05/1936</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08/12/1971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Minturno (Latine)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10/12/2009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08/10/1984</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Ameglia (La Spezia)</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20/12/1967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Ancône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27/06/1969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Pietra Ligure (Savone)</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04/02/1977</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SanRemo (Imperia)</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12/11/2010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05/02/1960</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Monza </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23/05/1978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16/05/1979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11/05/1979</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1/9/2005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de première instance 28/1/11</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23/2/2012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p w:rsidR="007B2095" w:rsidRPr="00874348" w:rsidRDefault="007B2095" w:rsidP="00874348">
            <w:pPr>
              <w:jc w:val="left"/>
              <w:rPr>
                <w:rFonts w:ascii="Times New Roman" w:eastAsia="Times New Roman" w:hAnsi="Times New Roman" w:cs="Times New Roman"/>
                <w:sz w:val="16"/>
                <w:szCs w:val="16"/>
                <w:lang w:val="fr-FR"/>
              </w:rPr>
            </w:pP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:9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AB1B15">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01/04/1961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Remo (Imperia)</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27/12/2007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12/11/2010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05/04/1968</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8/7/2004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37" w:type="pct"/>
          </w:tcPr>
          <w:p w:rsidR="007B2095" w:rsidRPr="00874348" w:rsidRDefault="007B2095" w:rsidP="00874348">
            <w:pPr>
              <w:numPr>
                <w:ilvl w:val="0"/>
                <w:numId w:val="23"/>
              </w:numPr>
              <w:contextualSpacing/>
              <w:jc w:val="left"/>
              <w:rPr>
                <w:rFonts w:ascii="Times New Roman" w:eastAsia="Times New Roman" w:hAnsi="Times New Roman" w:cs="Times New Roman"/>
                <w:b/>
                <w:sz w:val="16"/>
                <w:szCs w:val="16"/>
                <w:lang w:val="fr-FR"/>
              </w:rPr>
            </w:pPr>
          </w:p>
        </w:tc>
        <w:tc>
          <w:tcPr>
            <w:tcW w:w="33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16/05/1981</w:t>
            </w:r>
          </w:p>
        </w:tc>
        <w:tc>
          <w:tcPr>
            <w:tcW w:w="3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8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62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jc w:val="left"/>
              <w:rPr>
                <w:rFonts w:ascii="Times New Roman" w:eastAsia="Times New Roman" w:hAnsi="Times New Roman" w:cs="Times New Roman"/>
                <w:sz w:val="16"/>
                <w:szCs w:val="16"/>
                <w:lang w:val="fr-FR"/>
              </w:rPr>
            </w:pPr>
          </w:p>
        </w:tc>
        <w:tc>
          <w:tcPr>
            <w:tcW w:w="72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6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67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7B2095" w:rsidRPr="00874348" w:rsidRDefault="007B2095" w:rsidP="00874348">
      <w:pPr>
        <w:rPr>
          <w:rFonts w:ascii="Times New Roman" w:eastAsia="Times New Roman" w:hAnsi="Times New Roman" w:cs="Times New Roman"/>
          <w:sz w:val="16"/>
          <w:szCs w:val="16"/>
          <w:lang w:val="fr-FR"/>
        </w:rPr>
      </w:pPr>
    </w:p>
    <w:p w:rsidR="007B2095" w:rsidRPr="00874348" w:rsidRDefault="007B2095" w:rsidP="00874348">
      <w:pPr>
        <w:keepNext/>
        <w:keepLines/>
        <w:ind w:left="-567" w:right="-580"/>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11.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22918/13 M.C. et huit autres requérants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11/1/2013.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p>
    <w:tbl>
      <w:tblPr>
        <w:tblStyle w:val="ECHRListTable1"/>
        <w:tblW w:w="5149" w:type="pct"/>
        <w:tblInd w:w="-885" w:type="dxa"/>
        <w:tblLook w:val="05E0" w:firstRow="1" w:lastRow="1" w:firstColumn="1" w:lastColumn="1" w:noHBand="0" w:noVBand="1"/>
      </w:tblPr>
      <w:tblGrid>
        <w:gridCol w:w="615"/>
        <w:gridCol w:w="945"/>
        <w:gridCol w:w="865"/>
        <w:gridCol w:w="2241"/>
        <w:gridCol w:w="1865"/>
        <w:gridCol w:w="1615"/>
        <w:gridCol w:w="3241"/>
        <w:gridCol w:w="1492"/>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43"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39"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40"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72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p w:rsidR="007B2095" w:rsidRPr="00874348" w:rsidRDefault="007B2095" w:rsidP="00874348">
            <w:pPr>
              <w:jc w:val="left"/>
              <w:rPr>
                <w:rFonts w:ascii="Times New Roman" w:eastAsia="Times New Roman" w:hAnsi="Times New Roman" w:cs="Times New Roman"/>
                <w:sz w:val="16"/>
                <w:szCs w:val="16"/>
                <w:lang w:val="fr-FR"/>
              </w:rPr>
            </w:pPr>
          </w:p>
        </w:tc>
        <w:tc>
          <w:tcPr>
            <w:tcW w:w="63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262"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jc w:val="left"/>
              <w:rPr>
                <w:rFonts w:ascii="Times New Roman" w:eastAsia="Times New Roman" w:hAnsi="Times New Roman" w:cs="Times New Roman"/>
                <w:sz w:val="16"/>
                <w:szCs w:val="16"/>
                <w:lang w:val="fr-FR"/>
              </w:rPr>
            </w:pP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43" w:type="pct"/>
          </w:tcPr>
          <w:p w:rsidR="007B2095" w:rsidRPr="00874348" w:rsidRDefault="007B2095" w:rsidP="00874348">
            <w:pPr>
              <w:keepNext/>
              <w:keepLines/>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04/01/1948</w:t>
            </w:r>
          </w:p>
        </w:tc>
        <w:tc>
          <w:tcPr>
            <w:tcW w:w="340"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Giugliano</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11/3/2004</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première instance 11/3/2008</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7/4/2009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à la date de dépôt des observations : 19/12/2014</w:t>
            </w:r>
          </w:p>
        </w:tc>
        <w:tc>
          <w:tcPr>
            <w:tcW w:w="72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10 ans et 9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p w:rsidR="007B2095" w:rsidRPr="00874348" w:rsidRDefault="007B2095" w:rsidP="00874348">
            <w:pPr>
              <w:keepNext/>
              <w:keepLines/>
              <w:rPr>
                <w:rFonts w:ascii="Times New Roman" w:eastAsia="Times New Roman" w:hAnsi="Times New Roman" w:cs="Times New Roman"/>
                <w:sz w:val="16"/>
                <w:szCs w:val="16"/>
                <w:lang w:val="fr-FR"/>
              </w:rPr>
            </w:pPr>
          </w:p>
        </w:tc>
        <w:tc>
          <w:tcPr>
            <w:tcW w:w="631" w:type="pct"/>
          </w:tcPr>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3" w:type="pct"/>
          </w:tcPr>
          <w:p w:rsidR="007B2095" w:rsidRPr="00874348" w:rsidRDefault="007B2095" w:rsidP="00874348">
            <w:pPr>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17/05/1977</w:t>
            </w:r>
          </w:p>
        </w:tc>
        <w:tc>
          <w:tcPr>
            <w:tcW w:w="340"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Caivano (N Naples)</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72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631"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3" w:type="pct"/>
          </w:tcPr>
          <w:p w:rsidR="007B2095" w:rsidRPr="00874348" w:rsidRDefault="007B2095" w:rsidP="00874348">
            <w:pPr>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12/07/1946</w:t>
            </w:r>
          </w:p>
        </w:tc>
        <w:tc>
          <w:tcPr>
            <w:tcW w:w="340"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16/6/2006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25/6/2010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72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631"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3" w:type="pct"/>
          </w:tcPr>
          <w:p w:rsidR="007B2095" w:rsidRPr="00874348" w:rsidRDefault="007B2095" w:rsidP="00874348">
            <w:pPr>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12/11/1945</w:t>
            </w:r>
          </w:p>
        </w:tc>
        <w:tc>
          <w:tcPr>
            <w:tcW w:w="340"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Aversa (Caserte)</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72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631"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AB1B15">
        <w:trPr>
          <w:cantSplit/>
        </w:trPr>
        <w:tc>
          <w:tcPr>
            <w:tcW w:w="243" w:type="pct"/>
          </w:tcPr>
          <w:p w:rsidR="007B2095" w:rsidRPr="00874348" w:rsidRDefault="007B2095" w:rsidP="00874348">
            <w:pPr>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04/12/1966</w:t>
            </w:r>
          </w:p>
        </w:tc>
        <w:tc>
          <w:tcPr>
            <w:tcW w:w="340"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25/9/2007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25/1/2010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72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631"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43" w:type="pct"/>
          </w:tcPr>
          <w:p w:rsidR="007B2095" w:rsidRPr="00874348" w:rsidRDefault="007B2095" w:rsidP="00874348">
            <w:pPr>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20/06/1942</w:t>
            </w:r>
          </w:p>
        </w:tc>
        <w:tc>
          <w:tcPr>
            <w:tcW w:w="340"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Marzano Appio (Caserte)</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728"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631"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3" w:type="pct"/>
          </w:tcPr>
          <w:p w:rsidR="007B2095" w:rsidRPr="00874348" w:rsidRDefault="007B2095" w:rsidP="00874348">
            <w:pPr>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15/12/1950</w:t>
            </w:r>
          </w:p>
        </w:tc>
        <w:tc>
          <w:tcPr>
            <w:tcW w:w="340"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Arezzo</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728"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631"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3" w:type="pct"/>
          </w:tcPr>
          <w:p w:rsidR="007B2095" w:rsidRPr="00874348" w:rsidRDefault="007B2095" w:rsidP="00874348">
            <w:pPr>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13/06/1956</w:t>
            </w:r>
          </w:p>
        </w:tc>
        <w:tc>
          <w:tcPr>
            <w:tcW w:w="340"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11/12/2006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72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631"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18/11/2009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3" w:type="pct"/>
          </w:tcPr>
          <w:p w:rsidR="007B2095" w:rsidRPr="00874348" w:rsidRDefault="007B2095" w:rsidP="00874348">
            <w:pPr>
              <w:numPr>
                <w:ilvl w:val="0"/>
                <w:numId w:val="24"/>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06/03/1944</w:t>
            </w:r>
          </w:p>
        </w:tc>
        <w:tc>
          <w:tcPr>
            <w:tcW w:w="340"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Potenza</w:t>
            </w:r>
          </w:p>
        </w:tc>
        <w:tc>
          <w:tcPr>
            <w:tcW w:w="87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728"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rPr>
                <w:rFonts w:ascii="Times New Roman" w:eastAsia="Times New Roman" w:hAnsi="Times New Roman" w:cs="Times New Roman"/>
                <w:sz w:val="16"/>
                <w:szCs w:val="16"/>
                <w:lang w:val="fr-FR"/>
              </w:rPr>
            </w:pPr>
          </w:p>
        </w:tc>
        <w:tc>
          <w:tcPr>
            <w:tcW w:w="631"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26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7B2095" w:rsidRPr="00874348" w:rsidRDefault="007B2095" w:rsidP="00874348">
      <w:pPr>
        <w:rPr>
          <w:rFonts w:ascii="Times New Roman" w:eastAsia="Times New Roman" w:hAnsi="Times New Roman" w:cs="Times New Roman"/>
          <w:sz w:val="16"/>
          <w:szCs w:val="16"/>
          <w:lang w:val="fr-FR"/>
        </w:rPr>
      </w:pPr>
    </w:p>
    <w:p w:rsidR="00385ABF" w:rsidRPr="00874348" w:rsidRDefault="007B2095" w:rsidP="00874348">
      <w:pPr>
        <w:keepNext/>
        <w:keepLines/>
        <w:ind w:left="-567" w:right="-580"/>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12.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22978/13 D.B.</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 requérant a introduit sa requête le 11/1/2013. Il est représenté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p>
    <w:tbl>
      <w:tblPr>
        <w:tblStyle w:val="ECHRListTable1"/>
        <w:tblW w:w="5150" w:type="pct"/>
        <w:tblInd w:w="-885" w:type="dxa"/>
        <w:tblLook w:val="05E0" w:firstRow="1" w:lastRow="1" w:firstColumn="1" w:lastColumn="1" w:noHBand="0" w:noVBand="1"/>
      </w:tblPr>
      <w:tblGrid>
        <w:gridCol w:w="613"/>
        <w:gridCol w:w="945"/>
        <w:gridCol w:w="866"/>
        <w:gridCol w:w="2239"/>
        <w:gridCol w:w="1871"/>
        <w:gridCol w:w="1613"/>
        <w:gridCol w:w="3367"/>
        <w:gridCol w:w="1367"/>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42"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39"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340"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87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73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p w:rsidR="007B2095" w:rsidRPr="00874348" w:rsidRDefault="007B2095" w:rsidP="00874348">
            <w:pPr>
              <w:jc w:val="left"/>
              <w:rPr>
                <w:rFonts w:ascii="Times New Roman" w:eastAsia="Times New Roman" w:hAnsi="Times New Roman" w:cs="Times New Roman"/>
                <w:sz w:val="16"/>
                <w:szCs w:val="16"/>
                <w:lang w:val="fr-FR"/>
              </w:rPr>
            </w:pPr>
          </w:p>
        </w:tc>
        <w:tc>
          <w:tcPr>
            <w:tcW w:w="63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311"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jc w:val="left"/>
              <w:rPr>
                <w:rFonts w:ascii="Times New Roman" w:eastAsia="Times New Roman" w:hAnsi="Times New Roman" w:cs="Times New Roman"/>
                <w:sz w:val="16"/>
                <w:szCs w:val="16"/>
                <w:lang w:val="fr-FR"/>
              </w:rPr>
            </w:pP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42" w:type="pct"/>
          </w:tcPr>
          <w:p w:rsidR="007B2095" w:rsidRPr="00874348" w:rsidRDefault="007B2095" w:rsidP="00874348">
            <w:pPr>
              <w:keepNext/>
              <w:keepLines/>
              <w:rPr>
                <w:rFonts w:ascii="Times New Roman" w:eastAsia="Times New Roman" w:hAnsi="Times New Roman" w:cs="Times New Roman"/>
                <w:b/>
                <w:sz w:val="16"/>
                <w:szCs w:val="16"/>
              </w:rPr>
            </w:pPr>
            <w:r w:rsidRPr="00874348">
              <w:rPr>
                <w:rFonts w:ascii="Times New Roman" w:eastAsia="Times New Roman" w:hAnsi="Times New Roman" w:cs="Times New Roman"/>
                <w:b/>
                <w:sz w:val="16"/>
                <w:szCs w:val="16"/>
              </w:rPr>
              <w:t>1</w:t>
            </w:r>
          </w:p>
        </w:tc>
        <w:tc>
          <w:tcPr>
            <w:tcW w:w="339"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19/05/1969</w:t>
            </w:r>
          </w:p>
        </w:tc>
        <w:tc>
          <w:tcPr>
            <w:tcW w:w="340"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Imperia</w:t>
            </w:r>
          </w:p>
        </w:tc>
        <w:tc>
          <w:tcPr>
            <w:tcW w:w="87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73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p w:rsidR="007B2095" w:rsidRPr="00874348" w:rsidRDefault="007B2095" w:rsidP="00874348">
            <w:pPr>
              <w:keepNext/>
              <w:keepLines/>
              <w:rPr>
                <w:rFonts w:ascii="Times New Roman" w:eastAsia="Times New Roman" w:hAnsi="Times New Roman" w:cs="Times New Roman"/>
                <w:sz w:val="16"/>
                <w:szCs w:val="16"/>
                <w:lang w:val="fr-FR"/>
              </w:rPr>
            </w:pPr>
          </w:p>
        </w:tc>
        <w:tc>
          <w:tcPr>
            <w:tcW w:w="630" w:type="pct"/>
          </w:tcPr>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31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7B2095" w:rsidRPr="00874348" w:rsidRDefault="007B2095" w:rsidP="00874348">
      <w:pPr>
        <w:rPr>
          <w:rFonts w:ascii="Times New Roman" w:eastAsia="Times New Roman" w:hAnsi="Times New Roman" w:cs="Times New Roman"/>
          <w:sz w:val="16"/>
          <w:szCs w:val="16"/>
          <w:lang w:val="fr-FR"/>
        </w:rPr>
      </w:pPr>
    </w:p>
    <w:p w:rsidR="007B2095" w:rsidRPr="00874348" w:rsidRDefault="007B2095" w:rsidP="00874348">
      <w:pPr>
        <w:keepNext/>
        <w:keepLines/>
        <w:ind w:left="-567" w:right="-580"/>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13.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22985/13 M.G. et soixante-douze autres requérants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11/1/2013.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keepNext/>
        <w:keepLines/>
        <w:ind w:left="-567" w:right="-580"/>
        <w:rPr>
          <w:rFonts w:ascii="Times New Roman" w:eastAsia="Times New Roman" w:hAnsi="Times New Roman" w:cs="Times New Roman"/>
          <w:b/>
          <w:color w:val="474747"/>
          <w:sz w:val="16"/>
          <w:szCs w:val="16"/>
          <w:lang w:val="fr-FR"/>
        </w:rPr>
      </w:pPr>
    </w:p>
    <w:tbl>
      <w:tblPr>
        <w:tblStyle w:val="ECHRListTable1"/>
        <w:tblW w:w="5138" w:type="pct"/>
        <w:tblInd w:w="-885" w:type="dxa"/>
        <w:tblLook w:val="05E0" w:firstRow="1" w:lastRow="1" w:firstColumn="1" w:lastColumn="1" w:noHBand="0" w:noVBand="1"/>
      </w:tblPr>
      <w:tblGrid>
        <w:gridCol w:w="597"/>
        <w:gridCol w:w="945"/>
        <w:gridCol w:w="1194"/>
        <w:gridCol w:w="2723"/>
        <w:gridCol w:w="1222"/>
        <w:gridCol w:w="1975"/>
        <w:gridCol w:w="2847"/>
        <w:gridCol w:w="1348"/>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42"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39"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436"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p w:rsidR="007B2095" w:rsidRPr="00874348" w:rsidRDefault="007B2095" w:rsidP="00874348">
            <w:pPr>
              <w:jc w:val="left"/>
              <w:rPr>
                <w:rFonts w:ascii="Times New Roman" w:eastAsia="Times New Roman" w:hAnsi="Times New Roman" w:cs="Times New Roman"/>
                <w:sz w:val="16"/>
                <w:szCs w:val="16"/>
                <w:lang w:val="fr-FR"/>
              </w:rPr>
            </w:pP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117"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jc w:val="left"/>
              <w:rPr>
                <w:rFonts w:ascii="Times New Roman" w:eastAsia="Times New Roman" w:hAnsi="Times New Roman" w:cs="Times New Roman"/>
                <w:sz w:val="16"/>
                <w:szCs w:val="16"/>
                <w:lang w:val="fr-FR"/>
              </w:rPr>
            </w:pP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42" w:type="pct"/>
          </w:tcPr>
          <w:p w:rsidR="007B2095" w:rsidRPr="00874348" w:rsidRDefault="007B2095" w:rsidP="00874348">
            <w:pPr>
              <w:keepNext/>
              <w:keepLines/>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04/11/1950</w:t>
            </w:r>
          </w:p>
        </w:tc>
        <w:tc>
          <w:tcPr>
            <w:tcW w:w="436"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Mugnano</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28/5/2005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première instance 22/10/2008</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en 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7/11/2012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9 ans et 7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12/11/2009</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29/11/1945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15/09/1941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22/1/2009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25/07/1984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Salerne</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23/01/1950</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Casandrino (NA)</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23/06/1969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24/09/1940</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Castellammare di Stabia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11/10/1929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12/12/2007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8/3/2010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28/03/1945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Marano di Naples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14/03/1943</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Boscoreale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18/02/1985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Ercolano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26/05/1946</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6/5/2010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8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19/03/1959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10/04/1965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20/01/1948</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17/05/1966</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Mugnano di Naples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01/09/1954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3/7/2006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14/02/1949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18/10/2007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18/07/1981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19/01/1947</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Melito di Naples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02/02/1934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Pozzuoli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11/04/1961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Mugnano di Naples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F Frais et dépens encourus devant la Cour indiqués ci-dessus </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29/11/1961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Melito di Naples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25/5/2006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12/02/1983</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Casalnuovo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18/10/2007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23/01/1945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Ercolano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10/08/1940</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Frattamaggiore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9/10/2007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19/01/1944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pas de demande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07/03/1939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Casoria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03/03/1946</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15/03/1957</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Gricignano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Aversa (Caserte</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07/04/1952</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Lusciano (Caserte)</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trHeight w:val="1466"/>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20/12/1940</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25/9/2007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3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05/09/1957</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Taurano (Avellino)</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10/4/2006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9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23/11/1954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Poggiomarino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18/11/1943</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Pozzuoli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2 héritiers)</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01/11/1956</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15/03/1961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Torre del Greco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15/5/2000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première instance 10/10/2007</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Appel introduit à une date non précisée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14 ans et 7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2</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05/07/1949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Torre del Greco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16/11/1944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Torre del Greco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7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(conjointement entre les 2 héritiers)</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27/08/1957</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Prato</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01/02/1975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20/01/1950</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Castenaso (Bologne)</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04/01/1945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12/10/1961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Poggiomarino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23/7/2007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18/05/1948</w:t>
            </w:r>
          </w:p>
        </w:tc>
        <w:tc>
          <w:tcPr>
            <w:tcW w:w="43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Santa Maria Capua Vetere (Caserte)</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14/02/1989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Ruviano (Caserte)</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26/04/1977</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Pomigliano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Arco (Naples)</w:t>
            </w:r>
          </w:p>
        </w:tc>
        <w:tc>
          <w:tcPr>
            <w:tcW w:w="1069"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19/2/2006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10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11/04/1972</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AB1B15">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24/01/1953</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Volla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09/03/1939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27/03/1981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Liveri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8/6/2006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26/04/1971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Marano di Naples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9/10/2007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DB1734">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28/10/1936</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26/07/1945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25/7/2007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5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13/08/1982</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Casoria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28/10/1936</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Castellammare di Stabia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DB1734">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21/01/1964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Giuseppe Vesuviano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8/6/2006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6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29/04/1939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Pozzuoli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20/05/1960</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Giugliano in Campania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b/>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01/01/1948</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Pollena Trocchia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DB1734">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11/10/1958</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28/11/1943</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05/09/1946</w:t>
            </w:r>
          </w:p>
        </w:tc>
        <w:tc>
          <w:tcPr>
            <w:tcW w:w="43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Giorgio a Cremano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19/4/2010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14/05/1974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Volla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DB1734">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31/08/1944</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Pozzuoli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12/12/2007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09/10/1945</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Melito di Naples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19/06/1942</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Giugliano in Campania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18/10/2007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2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31/01/1956</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DB1734">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09/02/1941</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29/03/1940</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à une date non précisée de 2005</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maximale : 9 ans et 11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09/03/1948</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Cicciano (NA)</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14/01/1949</w:t>
            </w:r>
          </w:p>
        </w:tc>
        <w:tc>
          <w:tcPr>
            <w:tcW w:w="43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Cercola (Naples)</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FD29B4">
        <w:trPr>
          <w:cantSplit/>
        </w:trPr>
        <w:tc>
          <w:tcPr>
            <w:tcW w:w="242" w:type="pct"/>
          </w:tcPr>
          <w:p w:rsidR="007B2095" w:rsidRPr="00874348" w:rsidRDefault="007B2095" w:rsidP="00874348">
            <w:pPr>
              <w:numPr>
                <w:ilvl w:val="0"/>
                <w:numId w:val="26"/>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29/09/1954</w:t>
            </w:r>
          </w:p>
        </w:tc>
        <w:tc>
          <w:tcPr>
            <w:tcW w:w="43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Nicola La Strada (CE)</w:t>
            </w:r>
          </w:p>
        </w:tc>
        <w:tc>
          <w:tcPr>
            <w:tcW w:w="1069"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 mois</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7B2095" w:rsidRPr="00874348" w:rsidRDefault="007B2095" w:rsidP="00874348">
      <w:pPr>
        <w:ind w:left="-567"/>
        <w:jc w:val="left"/>
        <w:rPr>
          <w:rFonts w:ascii="Times New Roman" w:eastAsia="Times New Roman" w:hAnsi="Times New Roman" w:cs="Times New Roman"/>
          <w:sz w:val="16"/>
          <w:szCs w:val="16"/>
          <w:lang w:val="fr-FR"/>
        </w:rPr>
      </w:pPr>
    </w:p>
    <w:p w:rsidR="007B2095" w:rsidRPr="00874348" w:rsidRDefault="007B2095" w:rsidP="00874348">
      <w:pPr>
        <w:ind w:left="-567"/>
        <w:jc w:val="left"/>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4.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22899/13 C.S. et cinq autres requérants</w:t>
      </w:r>
    </w:p>
    <w:p w:rsidR="007B2095" w:rsidRPr="00874348" w:rsidRDefault="007B2095" w:rsidP="00874348">
      <w:pPr>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11/1/2013.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tabs>
          <w:tab w:val="left" w:pos="7938"/>
        </w:tabs>
        <w:ind w:left="-567" w:right="-580"/>
        <w:jc w:val="left"/>
        <w:rPr>
          <w:rFonts w:ascii="Times New Roman" w:eastAsia="Times New Roman" w:hAnsi="Times New Roman" w:cs="Times New Roman"/>
          <w:sz w:val="16"/>
          <w:szCs w:val="16"/>
          <w:lang w:val="fr-FR"/>
        </w:rPr>
      </w:pPr>
    </w:p>
    <w:tbl>
      <w:tblPr>
        <w:tblStyle w:val="ECHRListTable1"/>
        <w:tblW w:w="5149" w:type="pct"/>
        <w:tblInd w:w="-885" w:type="dxa"/>
        <w:tblLook w:val="05E0" w:firstRow="1" w:lastRow="1" w:firstColumn="1" w:lastColumn="1" w:noHBand="0" w:noVBand="1"/>
      </w:tblPr>
      <w:tblGrid>
        <w:gridCol w:w="615"/>
        <w:gridCol w:w="945"/>
        <w:gridCol w:w="1117"/>
        <w:gridCol w:w="2741"/>
        <w:gridCol w:w="1242"/>
        <w:gridCol w:w="1994"/>
        <w:gridCol w:w="2862"/>
        <w:gridCol w:w="1363"/>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43"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438"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10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48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115"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jc w:val="left"/>
              <w:rPr>
                <w:rFonts w:ascii="Times New Roman" w:eastAsia="Times New Roman" w:hAnsi="Times New Roman" w:cs="Times New Roman"/>
                <w:sz w:val="16"/>
                <w:szCs w:val="16"/>
                <w:lang w:val="fr-FR"/>
              </w:rPr>
            </w:pP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43" w:type="pct"/>
          </w:tcPr>
          <w:p w:rsidR="007B2095" w:rsidRPr="00874348" w:rsidRDefault="007B2095" w:rsidP="00874348">
            <w:pPr>
              <w:numPr>
                <w:ilvl w:val="0"/>
                <w:numId w:val="25"/>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18/07/1947</w:t>
            </w:r>
          </w:p>
        </w:tc>
        <w:tc>
          <w:tcPr>
            <w:tcW w:w="438"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Ponticelli Naples</w:t>
            </w:r>
          </w:p>
        </w:tc>
        <w:tc>
          <w:tcPr>
            <w:tcW w:w="10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6"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rPr>
          <w:cantSplit/>
        </w:trPr>
        <w:tc>
          <w:tcPr>
            <w:tcW w:w="243" w:type="pct"/>
          </w:tcPr>
          <w:p w:rsidR="007B2095" w:rsidRPr="00874348" w:rsidRDefault="007B2095" w:rsidP="00874348">
            <w:pPr>
              <w:numPr>
                <w:ilvl w:val="0"/>
                <w:numId w:val="25"/>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19/01/1930</w:t>
            </w:r>
          </w:p>
        </w:tc>
        <w:tc>
          <w:tcPr>
            <w:tcW w:w="438"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26/6/2006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6 mois</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09/11/2009</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Rayé du rôle</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w:t>
            </w:r>
          </w:p>
        </w:tc>
      </w:tr>
      <w:tr w:rsidR="007B2095" w:rsidRPr="00874348" w:rsidTr="00FD29B4">
        <w:trPr>
          <w:cantSplit/>
        </w:trPr>
        <w:tc>
          <w:tcPr>
            <w:tcW w:w="243" w:type="pct"/>
          </w:tcPr>
          <w:p w:rsidR="007B2095" w:rsidRPr="00874348" w:rsidRDefault="007B2095" w:rsidP="00874348">
            <w:pPr>
              <w:numPr>
                <w:ilvl w:val="0"/>
                <w:numId w:val="25"/>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25/11/1957</w:t>
            </w:r>
          </w:p>
        </w:tc>
        <w:tc>
          <w:tcPr>
            <w:tcW w:w="438"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12/12/2007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8/3/2010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6"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7 ans</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3" w:type="pct"/>
          </w:tcPr>
          <w:p w:rsidR="007B2095" w:rsidRPr="00874348" w:rsidRDefault="007B2095" w:rsidP="00874348">
            <w:pPr>
              <w:numPr>
                <w:ilvl w:val="0"/>
                <w:numId w:val="25"/>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06/12/1972</w:t>
            </w:r>
          </w:p>
        </w:tc>
        <w:tc>
          <w:tcPr>
            <w:tcW w:w="438"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Pavie</w:t>
            </w:r>
          </w:p>
        </w:tc>
        <w:tc>
          <w:tcPr>
            <w:tcW w:w="10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20/12/2007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15/4/2010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6"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3" w:type="pct"/>
          </w:tcPr>
          <w:p w:rsidR="007B2095" w:rsidRPr="00874348" w:rsidRDefault="007B2095" w:rsidP="00874348">
            <w:pPr>
              <w:numPr>
                <w:ilvl w:val="0"/>
                <w:numId w:val="25"/>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12/03/1945</w:t>
            </w:r>
          </w:p>
        </w:tc>
        <w:tc>
          <w:tcPr>
            <w:tcW w:w="438"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6"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3" w:type="pct"/>
          </w:tcPr>
          <w:p w:rsidR="007B2095" w:rsidRPr="00874348" w:rsidRDefault="007B2095" w:rsidP="00874348">
            <w:pPr>
              <w:numPr>
                <w:ilvl w:val="0"/>
                <w:numId w:val="25"/>
              </w:numPr>
              <w:contextualSpacing/>
              <w:jc w:val="left"/>
              <w:rPr>
                <w:rFonts w:ascii="Times New Roman" w:eastAsia="Times New Roman" w:hAnsi="Times New Roman" w:cs="Times New Roman"/>
                <w:b/>
                <w:sz w:val="16"/>
                <w:szCs w:val="16"/>
                <w:lang w:val="fr-FR"/>
              </w:rPr>
            </w:pPr>
          </w:p>
        </w:tc>
        <w:tc>
          <w:tcPr>
            <w:tcW w:w="339"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19/10/1960</w:t>
            </w:r>
          </w:p>
        </w:tc>
        <w:tc>
          <w:tcPr>
            <w:tcW w:w="438" w:type="pct"/>
          </w:tcPr>
          <w:p w:rsidR="007B2095" w:rsidRPr="00874348" w:rsidRDefault="007B2095" w:rsidP="00874348">
            <w:pP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1068"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21/12/2007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Audience fixée au 2/3/2010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6"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778" w:type="pct"/>
          </w:tcPr>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115"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3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385ABF" w:rsidRPr="00874348" w:rsidRDefault="007B2095" w:rsidP="00874348">
      <w:pPr>
        <w:keepNext/>
        <w:keepLines/>
        <w:ind w:left="-567"/>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15.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9673/13 V.D.C. et deux autres requérants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Les requérants ont introduit leur requête le 11/1/2013.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Michele SCOLAMIERO et Sergio GUADAGNI, avocats à Naples.</w:t>
      </w:r>
    </w:p>
    <w:p w:rsidR="007B2095" w:rsidRPr="00874348" w:rsidRDefault="007B2095" w:rsidP="00874348">
      <w:pPr>
        <w:keepNext/>
        <w:keepLines/>
        <w:ind w:left="-567" w:right="-580"/>
        <w:rPr>
          <w:rFonts w:ascii="Times New Roman" w:eastAsia="Times New Roman" w:hAnsi="Times New Roman" w:cs="Times New Roman"/>
          <w:sz w:val="16"/>
          <w:szCs w:val="16"/>
          <w:lang w:val="fr-FR"/>
        </w:rPr>
      </w:pPr>
    </w:p>
    <w:tbl>
      <w:tblPr>
        <w:tblStyle w:val="ECHRListTable1"/>
        <w:tblW w:w="5199" w:type="pct"/>
        <w:tblInd w:w="-885" w:type="dxa"/>
        <w:tblLook w:val="05E0" w:firstRow="1" w:lastRow="1" w:firstColumn="1" w:lastColumn="1" w:noHBand="0" w:noVBand="1"/>
      </w:tblPr>
      <w:tblGrid>
        <w:gridCol w:w="614"/>
        <w:gridCol w:w="945"/>
        <w:gridCol w:w="1116"/>
        <w:gridCol w:w="1740"/>
        <w:gridCol w:w="1241"/>
        <w:gridCol w:w="1740"/>
        <w:gridCol w:w="4117"/>
        <w:gridCol w:w="1491"/>
      </w:tblGrid>
      <w:tr w:rsidR="007B2095" w:rsidRPr="00874348" w:rsidTr="000E3E96">
        <w:trPr>
          <w:cnfStyle w:val="100000000000" w:firstRow="1" w:lastRow="0" w:firstColumn="0" w:lastColumn="0" w:oddVBand="0" w:evenVBand="0" w:oddHBand="0" w:evenHBand="0" w:firstRowFirstColumn="0" w:firstRowLastColumn="0" w:lastRowFirstColumn="0" w:lastRowLastColumn="0"/>
        </w:trPr>
        <w:tc>
          <w:tcPr>
            <w:tcW w:w="240"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336"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433"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67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4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w:t>
            </w:r>
          </w:p>
        </w:tc>
        <w:tc>
          <w:tcPr>
            <w:tcW w:w="67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c>
          <w:tcPr>
            <w:tcW w:w="1587" w:type="pct"/>
          </w:tcPr>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Demandes introduites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41 de la Convention</w:t>
            </w:r>
          </w:p>
          <w:p w:rsidR="007B2095" w:rsidRPr="00874348" w:rsidRDefault="007B2095" w:rsidP="00874348">
            <w:pPr>
              <w:jc w:val="left"/>
              <w:rPr>
                <w:rFonts w:ascii="Times New Roman" w:eastAsia="Times New Roman" w:hAnsi="Times New Roman" w:cs="Times New Roman"/>
                <w:sz w:val="16"/>
                <w:szCs w:val="16"/>
                <w:lang w:val="fr-FR"/>
              </w:rPr>
            </w:pPr>
          </w:p>
        </w:tc>
        <w:tc>
          <w:tcPr>
            <w:tcW w:w="57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Chiffre alloué à titre de satisfaction équitable pour le dommage moral subi</w:t>
            </w:r>
          </w:p>
        </w:tc>
      </w:tr>
      <w:tr w:rsidR="007B2095" w:rsidRPr="00874348" w:rsidTr="000E3E96">
        <w:tc>
          <w:tcPr>
            <w:tcW w:w="240" w:type="pct"/>
          </w:tcPr>
          <w:p w:rsidR="007B2095" w:rsidRPr="00874348" w:rsidRDefault="007B2095" w:rsidP="00874348">
            <w:pPr>
              <w:keepNext/>
              <w:keepLines/>
              <w:rPr>
                <w:rFonts w:ascii="Times New Roman" w:eastAsia="Times New Roman" w:hAnsi="Times New Roman" w:cs="Times New Roman"/>
                <w:b/>
                <w:sz w:val="16"/>
                <w:szCs w:val="16"/>
              </w:rPr>
            </w:pPr>
            <w:r w:rsidRPr="00874348">
              <w:rPr>
                <w:rFonts w:ascii="Times New Roman" w:eastAsia="Times New Roman" w:hAnsi="Times New Roman" w:cs="Times New Roman"/>
                <w:b/>
                <w:sz w:val="16"/>
                <w:szCs w:val="16"/>
              </w:rPr>
              <w:t>1</w:t>
            </w:r>
          </w:p>
        </w:tc>
        <w:tc>
          <w:tcPr>
            <w:tcW w:w="336"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24/12/1938</w:t>
            </w:r>
          </w:p>
        </w:tc>
        <w:tc>
          <w:tcPr>
            <w:tcW w:w="433"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Pomigliano (Naples)</w:t>
            </w:r>
          </w:p>
        </w:tc>
        <w:tc>
          <w:tcPr>
            <w:tcW w:w="67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 mois</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673" w:type="pct"/>
          </w:tcPr>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10/11/2009</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8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7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keepNext/>
              <w:keepLines/>
              <w:rPr>
                <w:rFonts w:ascii="Times New Roman" w:eastAsia="Times New Roman" w:hAnsi="Times New Roman" w:cs="Times New Roman"/>
                <w:b/>
                <w:sz w:val="16"/>
                <w:szCs w:val="16"/>
              </w:rPr>
            </w:pPr>
            <w:r w:rsidRPr="00874348">
              <w:rPr>
                <w:rFonts w:ascii="Times New Roman" w:eastAsia="Times New Roman" w:hAnsi="Times New Roman" w:cs="Times New Roman"/>
                <w:b/>
                <w:sz w:val="16"/>
                <w:szCs w:val="16"/>
              </w:rPr>
              <w:t>2</w:t>
            </w:r>
          </w:p>
        </w:tc>
        <w:tc>
          <w:tcPr>
            <w:tcW w:w="336"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22/02/1957</w:t>
            </w:r>
          </w:p>
        </w:tc>
        <w:tc>
          <w:tcPr>
            <w:tcW w:w="433"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67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14/11/2007</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7 ans et 1 mois</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673" w:type="pct"/>
          </w:tcPr>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15/01/2010</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8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413 162,52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rPr>
                <w:rFonts w:ascii="Times New Roman" w:eastAsia="Times New Roman" w:hAnsi="Times New Roman" w:cs="Times New Roman"/>
                <w:b/>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7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r w:rsidR="007B2095" w:rsidRPr="00874348" w:rsidTr="000E3E96">
        <w:tc>
          <w:tcPr>
            <w:tcW w:w="240" w:type="pct"/>
          </w:tcPr>
          <w:p w:rsidR="007B2095" w:rsidRPr="00874348" w:rsidRDefault="007B2095" w:rsidP="00874348">
            <w:pPr>
              <w:keepNext/>
              <w:keepLines/>
              <w:rPr>
                <w:rFonts w:ascii="Times New Roman" w:eastAsia="Times New Roman" w:hAnsi="Times New Roman" w:cs="Times New Roman"/>
                <w:b/>
                <w:sz w:val="16"/>
                <w:szCs w:val="16"/>
              </w:rPr>
            </w:pPr>
            <w:r w:rsidRPr="00874348">
              <w:rPr>
                <w:rFonts w:ascii="Times New Roman" w:eastAsia="Times New Roman" w:hAnsi="Times New Roman" w:cs="Times New Roman"/>
                <w:b/>
                <w:sz w:val="16"/>
                <w:szCs w:val="16"/>
              </w:rPr>
              <w:t>3</w:t>
            </w:r>
          </w:p>
        </w:tc>
        <w:tc>
          <w:tcPr>
            <w:tcW w:w="336"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23/03/1949</w:t>
            </w:r>
          </w:p>
        </w:tc>
        <w:tc>
          <w:tcPr>
            <w:tcW w:w="433" w:type="pct"/>
          </w:tcPr>
          <w:p w:rsidR="007B2095" w:rsidRPr="00874348" w:rsidRDefault="007B2095" w:rsidP="00874348">
            <w:pPr>
              <w:keepNext/>
              <w:keepLines/>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Cardito (Naples)</w:t>
            </w:r>
          </w:p>
        </w:tc>
        <w:tc>
          <w:tcPr>
            <w:tcW w:w="67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introduite le 3/7/2006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 à la date de dépôt des observations : 19/12/2014</w:t>
            </w:r>
          </w:p>
        </w:tc>
        <w:tc>
          <w:tcPr>
            <w:tcW w:w="481" w:type="pct"/>
          </w:tcPr>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Durée (environ) : 8 ans et 5 mois</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Nombre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instances : 1</w:t>
            </w:r>
          </w:p>
        </w:tc>
        <w:tc>
          <w:tcPr>
            <w:tcW w:w="673" w:type="pct"/>
          </w:tcPr>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11/12/2009</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Exclu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c>
          <w:tcPr>
            <w:tcW w:w="158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matériel : 258 777,01 EUR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Dommage moral : les requérants se remettent à la Cour pour la quantification du dommage moral qu</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ils estiment avoir subi</w:t>
            </w:r>
          </w:p>
          <w:p w:rsidR="007B2095" w:rsidRPr="00874348" w:rsidRDefault="007B2095" w:rsidP="00874348">
            <w:pPr>
              <w:keepNext/>
              <w:keepLines/>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Frais et dépens encourus devant la Cour indiqués ci-dessus</w:t>
            </w:r>
          </w:p>
        </w:tc>
        <w:tc>
          <w:tcPr>
            <w:tcW w:w="577"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25 000 EUR</w:t>
            </w:r>
          </w:p>
        </w:tc>
      </w:tr>
    </w:tbl>
    <w:p w:rsidR="007B2095" w:rsidRPr="00874348" w:rsidRDefault="007B2095" w:rsidP="00874348">
      <w:pPr>
        <w:keepNext/>
        <w:keepLines/>
        <w:rPr>
          <w:rFonts w:ascii="Times New Roman" w:eastAsia="Times New Roman" w:hAnsi="Times New Roman" w:cs="Times New Roman"/>
          <w:sz w:val="16"/>
          <w:szCs w:val="16"/>
          <w:lang w:val="fr-FR"/>
        </w:rPr>
      </w:pPr>
    </w:p>
    <w:p w:rsidR="00FD29B4" w:rsidRPr="00874348" w:rsidRDefault="00FD29B4" w:rsidP="00874348">
      <w:pPr>
        <w:rPr>
          <w:rFonts w:ascii="Times New Roman" w:eastAsia="Times New Roman" w:hAnsi="Times New Roman" w:cs="Times New Roman"/>
          <w:sz w:val="16"/>
          <w:szCs w:val="16"/>
          <w:lang w:val="fr-FR"/>
        </w:rPr>
      </w:pPr>
    </w:p>
    <w:p w:rsidR="007B2095" w:rsidRPr="00874348" w:rsidRDefault="007B2095" w:rsidP="00874348">
      <w:pPr>
        <w:keepNext/>
        <w:keepLines/>
        <w:ind w:left="-567"/>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16.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158/12 S.A. et quatre-vingt-seize autres requérants</w:t>
      </w:r>
    </w:p>
    <w:p w:rsidR="007B2095" w:rsidRPr="00874348" w:rsidRDefault="007B2095" w:rsidP="00874348">
      <w:pPr>
        <w:keepNext/>
        <w:keepLines/>
        <w:ind w:left="-567"/>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sz w:val="16"/>
          <w:szCs w:val="16"/>
          <w:lang w:val="fr-FR"/>
        </w:rPr>
        <w:t>Les requérants ont introduit leur requête le 9/12/2011. Ils sont représentés devant la Cour par M</w:t>
      </w:r>
      <w:r w:rsidRPr="00874348">
        <w:rPr>
          <w:rFonts w:ascii="Times New Roman" w:eastAsia="Times New Roman" w:hAnsi="Times New Roman" w:cs="Times New Roman"/>
          <w:sz w:val="16"/>
          <w:szCs w:val="16"/>
          <w:vertAlign w:val="superscript"/>
          <w:lang w:val="fr-FR"/>
        </w:rPr>
        <w:t>e</w:t>
      </w:r>
      <w:r w:rsidRPr="00874348">
        <w:rPr>
          <w:rFonts w:ascii="Times New Roman" w:eastAsia="Times New Roman" w:hAnsi="Times New Roman" w:cs="Times New Roman"/>
          <w:sz w:val="16"/>
          <w:szCs w:val="16"/>
          <w:lang w:val="fr-FR"/>
        </w:rPr>
        <w:t xml:space="preserve"> CAPPELLARO, avocat à Milan.</w:t>
      </w:r>
    </w:p>
    <w:p w:rsidR="007B2095" w:rsidRPr="00874348" w:rsidRDefault="007B2095" w:rsidP="00874348">
      <w:pPr>
        <w:keepNext/>
        <w:keepLines/>
        <w:rPr>
          <w:rFonts w:ascii="Times New Roman" w:eastAsia="Times New Roman" w:hAnsi="Times New Roman" w:cs="Times New Roman"/>
          <w:b/>
          <w:sz w:val="16"/>
          <w:szCs w:val="16"/>
          <w:lang w:val="fr-FR"/>
        </w:rPr>
      </w:pPr>
    </w:p>
    <w:tbl>
      <w:tblPr>
        <w:tblStyle w:val="ECHRListTable1"/>
        <w:tblW w:w="4795" w:type="pct"/>
        <w:tblInd w:w="-885" w:type="dxa"/>
        <w:tblLook w:val="05E0" w:firstRow="1" w:lastRow="1" w:firstColumn="1" w:lastColumn="1" w:noHBand="0" w:noVBand="1"/>
      </w:tblPr>
      <w:tblGrid>
        <w:gridCol w:w="1144"/>
        <w:gridCol w:w="1449"/>
        <w:gridCol w:w="2173"/>
        <w:gridCol w:w="1228"/>
        <w:gridCol w:w="1873"/>
        <w:gridCol w:w="4126"/>
      </w:tblGrid>
      <w:tr w:rsidR="007B2095" w:rsidRPr="00874348" w:rsidTr="000E3E96">
        <w:trPr>
          <w:cnfStyle w:val="100000000000" w:firstRow="1" w:lastRow="0" w:firstColumn="0" w:lastColumn="0" w:oddVBand="0" w:evenVBand="0" w:oddHBand="0" w:evenHBand="0" w:firstRowFirstColumn="0" w:firstRowLastColumn="0" w:lastRowFirstColumn="0" w:lastRowLastColumn="0"/>
          <w:cantSplit/>
        </w:trPr>
        <w:tc>
          <w:tcPr>
            <w:tcW w:w="477"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604"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906"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512"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Introduction action civile</w:t>
            </w:r>
          </w:p>
        </w:tc>
        <w:tc>
          <w:tcPr>
            <w:tcW w:w="781"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172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10/09/1938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keepNext/>
              <w:keepLines/>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20/02/1946</w:t>
            </w:r>
          </w:p>
        </w:tc>
        <w:tc>
          <w:tcPr>
            <w:tcW w:w="906"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Canonica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Adda (Bergame)</w:t>
            </w:r>
          </w:p>
        </w:tc>
        <w:tc>
          <w:tcPr>
            <w:tcW w:w="512"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01/01/1955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03/05/1952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27/02/1967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Assago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10/12/1967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Legnano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05/06/1954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Brescia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22/05/1952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Brescello (Reggio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Émilie)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08/08/1929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Sesto San Giovanni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18/11/1946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Vaiano Cremasco (Cemone)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25/05/1968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Villanterio (Pavie)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21/06/1951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Novare (Novare)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12/08/1969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Inzago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30/12/1954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Castellanza (Varèse)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16/05/1953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20/05/1929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05/08/1976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Cerro Maggiore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22/12/1983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Olgiate Olona (Varèse)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07/11/1973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Carpiano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04/06/1953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05/11/1955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Bonate Sopra (Bergame)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20/11/1929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Requête pendante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21/11/1939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Sappada (Belluno)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23/06/2007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13/06/1950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Padoue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03/05/1983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Height w:val="658"/>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17/02/1975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12/09/1950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Busto Garolfo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27/04/1953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Requête pendante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24/03/1956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Requête pendante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16/01/1977</w:t>
            </w:r>
          </w:p>
        </w:tc>
        <w:tc>
          <w:tcPr>
            <w:tcW w:w="90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Giovanni in Fiore (Cosenza)</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12/03/2009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02/07/1979</w:t>
            </w:r>
          </w:p>
        </w:tc>
        <w:tc>
          <w:tcPr>
            <w:tcW w:w="90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Giovanni in Fiore (Cosenza)</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12/03/2009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03/05/1951</w:t>
            </w:r>
          </w:p>
        </w:tc>
        <w:tc>
          <w:tcPr>
            <w:tcW w:w="90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Giovanni in Fiore (Cosenza)</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12/03/2009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04/02/1948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07/03/1949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Naples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18/03/1957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Magnago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08/12/1952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27/08/1930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Sesto San Giovanni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29/09/1958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Castellanza (Varèse)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22/02/1945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Cunardo (Varèse)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27/03/1968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31/01/1968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25/11/2009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08/11/1941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03/10/1940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23/07/1947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30/05/1948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Palerme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09/07/1961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18/01/1943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08/08/1950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Nova Milanese (Monza)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08/05/1968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Giussano (Monza)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Height w:val="682"/>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24/02/1948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Basiglio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04/08/1975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Sesto San Giovanni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20/08/1951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Busto Arsizio (Varèse)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06/04/1980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Baranzate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27/11/1962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Paderno Dugnano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07/07/1952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23/04/1938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04/11/1954</w:t>
            </w:r>
          </w:p>
        </w:tc>
        <w:tc>
          <w:tcPr>
            <w:tcW w:w="90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San Giovanni in Fiore (Cosenza)</w:t>
            </w:r>
          </w:p>
        </w:tc>
        <w:tc>
          <w:tcPr>
            <w:tcW w:w="512"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16/11/2007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(fait partie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autres catégories de personnes endommagées)</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20/12/1965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12/04/1970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01/08/1955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Parabiago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03/05/1965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26/01/1968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Parabiago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21/07/1948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08/10/1974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Cerro Maggiore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19/08/1952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Acireale (Catanzaro)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09/04/1956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Magione (Pérouse)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12/11/1938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Rimini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3/5/2005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28/10/1940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Gallarate (Varèse)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14/05/1968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Villa Cortese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01/10/1953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Roana (Vicence)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28/07/1942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Seregno (Monza)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15/02/1977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Fiorano Modenese (Monza)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28/05/1959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Rome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02/05/1948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Cinisello Balsamo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05/12/1929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Sesto San Giovanni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21/06/1944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p w:rsidR="007B2095" w:rsidRPr="00874348" w:rsidRDefault="007B2095" w:rsidP="00874348">
            <w:pPr>
              <w:jc w:val="left"/>
              <w:rPr>
                <w:rFonts w:ascii="Times New Roman" w:eastAsia="Times New Roman" w:hAnsi="Times New Roman" w:cs="Times New Roman"/>
                <w:sz w:val="16"/>
                <w:szCs w:val="16"/>
                <w:lang w:val="fr-FR"/>
              </w:rPr>
            </w:pP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09/12/2009Rejetée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13/09/1965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Truccazzano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09/06/1968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Cermenate (Come)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25/06/1953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Cerro Maggiore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01/05/1976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16/03/1961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Comazzo (Lecco)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24/02/1936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29/03/1949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Mesagne (Brescia)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Sedriano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16/12/2009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24/11/1939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Crema (Cremona)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09/06/1932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Milan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18/08/1941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Rome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15/12/2009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18/11/1962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Gênes</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24/04/1954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Pedavena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24/03/1954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Turate (Come)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27/11/2009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14/05/1957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Legnano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17/11/2009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11/05/1976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Bologne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21/04/1979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Bologne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3"/>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19/05/1940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Opera (Milan)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bl>
    <w:p w:rsidR="007B2095" w:rsidRPr="00874348" w:rsidRDefault="007B2095" w:rsidP="00874348">
      <w:pPr>
        <w:rPr>
          <w:rFonts w:ascii="Times New Roman" w:eastAsia="Times New Roman" w:hAnsi="Times New Roman" w:cs="Times New Roman"/>
          <w:sz w:val="16"/>
          <w:szCs w:val="16"/>
          <w:lang w:val="fr-FR"/>
        </w:rPr>
      </w:pPr>
    </w:p>
    <w:p w:rsidR="00385ABF" w:rsidRPr="00874348" w:rsidRDefault="007B2095" w:rsidP="00874348">
      <w:pPr>
        <w:ind w:left="-567"/>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17.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3892/12 D.M.M. et sept autres requérants</w:t>
      </w:r>
    </w:p>
    <w:p w:rsidR="007B2095" w:rsidRPr="00874348" w:rsidRDefault="007B2095" w:rsidP="00874348">
      <w:pPr>
        <w:ind w:left="-567"/>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sz w:val="16"/>
          <w:szCs w:val="16"/>
          <w:lang w:val="fr-FR"/>
        </w:rPr>
        <w:t>Les requérants ont introduit leur requête le 5/1/2012. Ils sont représentés devant la Cour par M</w:t>
      </w:r>
      <w:r w:rsidRPr="00874348">
        <w:rPr>
          <w:rFonts w:ascii="Times New Roman" w:eastAsia="Times New Roman" w:hAnsi="Times New Roman" w:cs="Times New Roman"/>
          <w:sz w:val="16"/>
          <w:szCs w:val="16"/>
          <w:vertAlign w:val="superscript"/>
          <w:lang w:val="fr-FR"/>
        </w:rPr>
        <w:t>e</w:t>
      </w:r>
      <w:r w:rsidRPr="00874348">
        <w:rPr>
          <w:rFonts w:ascii="Times New Roman" w:eastAsia="Times New Roman" w:hAnsi="Times New Roman" w:cs="Times New Roman"/>
          <w:sz w:val="16"/>
          <w:szCs w:val="16"/>
          <w:lang w:val="fr-FR"/>
        </w:rPr>
        <w:t xml:space="preserve"> PERRONE, avocat à Lecce.</w:t>
      </w:r>
    </w:p>
    <w:p w:rsidR="007B2095" w:rsidRPr="00874348" w:rsidRDefault="007B2095" w:rsidP="00874348">
      <w:pPr>
        <w:rPr>
          <w:rFonts w:ascii="Times New Roman" w:eastAsia="Times New Roman" w:hAnsi="Times New Roman" w:cs="Times New Roman"/>
          <w:b/>
          <w:sz w:val="16"/>
          <w:szCs w:val="16"/>
          <w:lang w:val="fr-FR"/>
        </w:rPr>
      </w:pPr>
    </w:p>
    <w:tbl>
      <w:tblPr>
        <w:tblStyle w:val="ECHRListTable1"/>
        <w:tblW w:w="4796" w:type="pct"/>
        <w:tblInd w:w="-885" w:type="dxa"/>
        <w:tblLook w:val="05E0" w:firstRow="1" w:lastRow="1" w:firstColumn="1" w:lastColumn="1" w:noHBand="0" w:noVBand="1"/>
      </w:tblPr>
      <w:tblGrid>
        <w:gridCol w:w="1144"/>
        <w:gridCol w:w="1447"/>
        <w:gridCol w:w="2174"/>
        <w:gridCol w:w="1228"/>
        <w:gridCol w:w="1879"/>
        <w:gridCol w:w="4124"/>
      </w:tblGrid>
      <w:tr w:rsidR="007B2095" w:rsidRPr="00874348" w:rsidTr="000E3E96">
        <w:trPr>
          <w:cnfStyle w:val="100000000000" w:firstRow="1" w:lastRow="0" w:firstColumn="0" w:lastColumn="0" w:oddVBand="0" w:evenVBand="0" w:oddHBand="0" w:evenHBand="0" w:firstRowFirstColumn="0" w:firstRowLastColumn="0" w:lastRowFirstColumn="0" w:lastRowLastColumn="0"/>
          <w:cantSplit/>
        </w:trPr>
        <w:tc>
          <w:tcPr>
            <w:tcW w:w="47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Introduction action civile</w:t>
            </w:r>
          </w:p>
        </w:tc>
        <w:tc>
          <w:tcPr>
            <w:tcW w:w="783"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r>
      <w:tr w:rsidR="007B2095" w:rsidRPr="00874348" w:rsidTr="000E3E96">
        <w:trPr>
          <w:cantSplit/>
        </w:trPr>
        <w:tc>
          <w:tcPr>
            <w:tcW w:w="477" w:type="pct"/>
          </w:tcPr>
          <w:p w:rsidR="007B2095" w:rsidRPr="00874348" w:rsidRDefault="007B2095" w:rsidP="00874348">
            <w:pPr>
              <w:numPr>
                <w:ilvl w:val="0"/>
                <w:numId w:val="14"/>
              </w:numPr>
              <w:contextualSpacing/>
              <w:jc w:val="left"/>
              <w:rPr>
                <w:rFonts w:ascii="Times New Roman" w:eastAsia="Times New Roman" w:hAnsi="Times New Roman" w:cs="Times New Roman"/>
                <w:b/>
                <w:sz w:val="16"/>
                <w:szCs w:val="16"/>
                <w:lang w:val="fr-FR"/>
              </w:rPr>
            </w:pP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25/08/1975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Ugento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Avant le 01/01/2008</w:t>
            </w:r>
          </w:p>
        </w:tc>
        <w:tc>
          <w:tcPr>
            <w:tcW w:w="7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4"/>
              </w:numPr>
              <w:contextualSpacing/>
              <w:jc w:val="left"/>
              <w:rPr>
                <w:rFonts w:ascii="Times New Roman" w:eastAsia="Times New Roman" w:hAnsi="Times New Roman" w:cs="Times New Roman"/>
                <w:b/>
                <w:sz w:val="16"/>
                <w:szCs w:val="16"/>
                <w:lang w:val="fr-FR"/>
              </w:rPr>
            </w:pP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16/07/1970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Lecce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Avant le 1/1/2008</w:t>
            </w:r>
          </w:p>
        </w:tc>
        <w:tc>
          <w:tcPr>
            <w:tcW w:w="7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4"/>
              </w:numPr>
              <w:contextualSpacing/>
              <w:jc w:val="left"/>
              <w:rPr>
                <w:rFonts w:ascii="Times New Roman" w:eastAsia="Times New Roman" w:hAnsi="Times New Roman" w:cs="Times New Roman"/>
                <w:b/>
                <w:sz w:val="16"/>
                <w:szCs w:val="16"/>
                <w:lang w:val="fr-FR"/>
              </w:rPr>
            </w:pP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21/03/1971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Lequile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Avant le 01/01/2008</w:t>
            </w:r>
          </w:p>
        </w:tc>
        <w:tc>
          <w:tcPr>
            <w:tcW w:w="7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4"/>
              </w:numPr>
              <w:contextualSpacing/>
              <w:jc w:val="left"/>
              <w:rPr>
                <w:rFonts w:ascii="Times New Roman" w:eastAsia="Times New Roman" w:hAnsi="Times New Roman" w:cs="Times New Roman"/>
                <w:b/>
                <w:sz w:val="16"/>
                <w:szCs w:val="16"/>
                <w:lang w:val="fr-FR"/>
              </w:rPr>
            </w:pP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23/03/1970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Lecce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Avant le 01/01/2008</w:t>
            </w:r>
          </w:p>
        </w:tc>
        <w:tc>
          <w:tcPr>
            <w:tcW w:w="7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4"/>
              </w:numPr>
              <w:contextualSpacing/>
              <w:jc w:val="left"/>
              <w:rPr>
                <w:rFonts w:ascii="Times New Roman" w:eastAsia="Times New Roman" w:hAnsi="Times New Roman" w:cs="Times New Roman"/>
                <w:b/>
                <w:sz w:val="16"/>
                <w:szCs w:val="16"/>
                <w:lang w:val="fr-FR"/>
              </w:rPr>
            </w:pP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17/02/1977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Sanarica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Avant le 01/01/2008</w:t>
            </w:r>
          </w:p>
        </w:tc>
        <w:tc>
          <w:tcPr>
            <w:tcW w:w="7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4"/>
              </w:numPr>
              <w:contextualSpacing/>
              <w:jc w:val="left"/>
              <w:rPr>
                <w:rFonts w:ascii="Times New Roman" w:eastAsia="Times New Roman" w:hAnsi="Times New Roman" w:cs="Times New Roman"/>
                <w:b/>
                <w:sz w:val="16"/>
                <w:szCs w:val="16"/>
                <w:lang w:val="fr-FR"/>
              </w:rPr>
            </w:pP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03/11/1971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Sanarica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Avant le 01/01/2008</w:t>
            </w:r>
          </w:p>
        </w:tc>
        <w:tc>
          <w:tcPr>
            <w:tcW w:w="7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12/01/2010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4"/>
              </w:numPr>
              <w:contextualSpacing/>
              <w:jc w:val="left"/>
              <w:rPr>
                <w:rFonts w:ascii="Times New Roman" w:eastAsia="Times New Roman" w:hAnsi="Times New Roman" w:cs="Times New Roman"/>
                <w:b/>
                <w:sz w:val="16"/>
                <w:szCs w:val="16"/>
                <w:lang w:val="fr-FR"/>
              </w:rPr>
            </w:pP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01/01/1972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Miggiano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Avant le 01/01/2008</w:t>
            </w:r>
          </w:p>
        </w:tc>
        <w:tc>
          <w:tcPr>
            <w:tcW w:w="7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4"/>
              </w:numPr>
              <w:contextualSpacing/>
              <w:jc w:val="left"/>
              <w:rPr>
                <w:rFonts w:ascii="Times New Roman" w:eastAsia="Times New Roman" w:hAnsi="Times New Roman" w:cs="Times New Roman"/>
                <w:b/>
                <w:sz w:val="16"/>
                <w:szCs w:val="16"/>
                <w:lang w:val="fr-FR"/>
              </w:rPr>
            </w:pPr>
          </w:p>
        </w:tc>
        <w:tc>
          <w:tcPr>
            <w:tcW w:w="60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26/04/1978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Lecce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Avant le 01/01/2008</w:t>
            </w:r>
          </w:p>
        </w:tc>
        <w:tc>
          <w:tcPr>
            <w:tcW w:w="783"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bl>
    <w:p w:rsidR="007B2095" w:rsidRPr="00874348" w:rsidRDefault="007B2095" w:rsidP="00874348">
      <w:pPr>
        <w:rPr>
          <w:rFonts w:ascii="Times New Roman" w:eastAsia="Times New Roman" w:hAnsi="Times New Roman" w:cs="Times New Roman"/>
          <w:sz w:val="16"/>
          <w:szCs w:val="16"/>
          <w:lang w:val="fr-FR"/>
        </w:rPr>
      </w:pPr>
    </w:p>
    <w:p w:rsidR="007B2095" w:rsidRPr="00874348" w:rsidRDefault="007B2095" w:rsidP="00874348">
      <w:pPr>
        <w:ind w:left="-567"/>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18.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8154/12 S.A. et trois-cent-cinq autres requérants</w:t>
      </w:r>
    </w:p>
    <w:p w:rsidR="007B2095" w:rsidRPr="00874348" w:rsidRDefault="007B2095" w:rsidP="00874348">
      <w:pPr>
        <w:ind w:left="-567"/>
        <w:rPr>
          <w:rFonts w:ascii="Times New Roman" w:eastAsia="Times New Roman" w:hAnsi="Times New Roman" w:cs="Times New Roman"/>
          <w:b/>
          <w:sz w:val="16"/>
          <w:szCs w:val="16"/>
          <w:lang w:val="fr-FR"/>
        </w:rPr>
      </w:pPr>
      <w:r w:rsidRPr="00874348">
        <w:rPr>
          <w:rFonts w:ascii="Times New Roman" w:eastAsia="Times New Roman" w:hAnsi="Times New Roman" w:cs="Times New Roman"/>
          <w:sz w:val="16"/>
          <w:szCs w:val="16"/>
          <w:lang w:val="fr-FR"/>
        </w:rPr>
        <w:t>Les requérants ont introduit leur requête le 23/12/2011. Ils sont représentés devant la Cour par M</w:t>
      </w:r>
      <w:r w:rsidRPr="00874348">
        <w:rPr>
          <w:rFonts w:ascii="Times New Roman" w:eastAsia="Times New Roman" w:hAnsi="Times New Roman" w:cs="Times New Roman"/>
          <w:sz w:val="16"/>
          <w:szCs w:val="16"/>
          <w:vertAlign w:val="superscript"/>
          <w:lang w:val="fr-FR"/>
        </w:rPr>
        <w:t xml:space="preserve">es </w:t>
      </w:r>
      <w:r w:rsidRPr="00874348">
        <w:rPr>
          <w:rFonts w:ascii="Times New Roman" w:eastAsia="Times New Roman" w:hAnsi="Times New Roman" w:cs="Times New Roman"/>
          <w:sz w:val="16"/>
          <w:szCs w:val="16"/>
          <w:lang w:val="fr-FR"/>
        </w:rPr>
        <w:t>LANA et SACCUCCI, avocats à Rome.</w:t>
      </w:r>
    </w:p>
    <w:p w:rsidR="007B2095" w:rsidRPr="00874348" w:rsidRDefault="007B2095" w:rsidP="00874348">
      <w:pPr>
        <w:rPr>
          <w:rFonts w:ascii="Times New Roman" w:eastAsia="Times New Roman" w:hAnsi="Times New Roman" w:cs="Times New Roman"/>
          <w:b/>
          <w:sz w:val="16"/>
          <w:szCs w:val="16"/>
          <w:lang w:val="fr-FR"/>
        </w:rPr>
      </w:pPr>
    </w:p>
    <w:tbl>
      <w:tblPr>
        <w:tblStyle w:val="ECHRListTable1"/>
        <w:tblW w:w="4795" w:type="pct"/>
        <w:tblInd w:w="-885" w:type="dxa"/>
        <w:tblLook w:val="05E0" w:firstRow="1" w:lastRow="1" w:firstColumn="1" w:lastColumn="1" w:noHBand="0" w:noVBand="1"/>
      </w:tblPr>
      <w:tblGrid>
        <w:gridCol w:w="1144"/>
        <w:gridCol w:w="1449"/>
        <w:gridCol w:w="2173"/>
        <w:gridCol w:w="1228"/>
        <w:gridCol w:w="1873"/>
        <w:gridCol w:w="4126"/>
      </w:tblGrid>
      <w:tr w:rsidR="007B2095" w:rsidRPr="00874348" w:rsidTr="000E3E96">
        <w:trPr>
          <w:cnfStyle w:val="100000000000" w:firstRow="1" w:lastRow="0" w:firstColumn="0" w:lastColumn="0" w:oddVBand="0" w:evenVBand="0" w:oddHBand="0" w:evenHBand="0" w:firstRowFirstColumn="0" w:firstRowLastColumn="0" w:lastRowFirstColumn="0" w:lastRowLastColumn="0"/>
          <w:cantSplit/>
        </w:trPr>
        <w:tc>
          <w:tcPr>
            <w:tcW w:w="477"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Introduction action civile</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28/09/1977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Rossano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16/10/2001</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18/09/1973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 Demande accueillie en première instance et procédure pendante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appel </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18/08/1966</w:t>
            </w:r>
          </w:p>
        </w:tc>
        <w:tc>
          <w:tcPr>
            <w:tcW w:w="906"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Sarzana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lang w:val="fr-FR"/>
              </w:rPr>
              <w:t>11/</w:t>
            </w:r>
            <w:r w:rsidRPr="00874348">
              <w:rPr>
                <w:rFonts w:ascii="Times New Roman" w:eastAsia="Times New Roman" w:hAnsi="Times New Roman" w:cs="Times New Roman"/>
                <w:color w:val="000000"/>
                <w:sz w:val="16"/>
                <w:szCs w:val="16"/>
              </w:rPr>
              <w:t>07/2005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quarter”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accueillie en première instance et procédure pendante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14/10/1953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Bari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18/09/1980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Velletri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18/02/1975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Velletri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Height w:val="637"/>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07/04/1974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05/09/1964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Gragnano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22/10/1938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Ancône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07/10/1958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Cardito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28/12/2009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05/04/1948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Terame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21/07/1968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Valmadrera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29/11/1976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Nola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22/03/1935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Aversa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26/12/1958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Crema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appel après cassation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23/03/1949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Lavagna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11/01/1971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Cremosano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03/09/1954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Crespiatica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25/05/1969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Cremosano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05/06/1973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Cremosano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04/04/1965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Capalba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13/09/1986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11/05/1981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01/02/1954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Loano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11/05/1962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Vérone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31/10/1939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Terame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24/07/2006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22/01/1943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 331 263,65 EUR -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27/03/1979</w:t>
            </w:r>
          </w:p>
        </w:tc>
        <w:tc>
          <w:tcPr>
            <w:tcW w:w="90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Monte San Giovanni in Sabina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Muggio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08/08/1967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Borgo Santa Maria (Latina)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14/11/2011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Pomezia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06/01/1947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Vaiano Cremasco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09/10/1947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Sora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29/05/1980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Sora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08/11/1968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Anzio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19/07/1964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31/05/1964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Trevise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12/07/1985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Casepultlengo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20/09/1945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Meina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bis”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03/07/1963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Portici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rPr>
            </w:pP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22/06/1959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Poggiomarino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23/05/1962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Nocera Inferiore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11/10/1967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Nocera Inferiore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20/12/1999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 10 000 EUR -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13/10/1945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Nocera Inferiore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20/12/1999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 10 000 EUR -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01/02/1973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Nocera Inferiore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20/12/1999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 10 000 EUR -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26/10/1945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Ferrara,Cocomaro di Focomorto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16/02/1978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06/06/1984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Trevignano Romeno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26/06/1968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SaViano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09/05/1962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Collegno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première instance, à la suite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une demande en quantification introduite le 6 octobre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quantification : 5/10/2009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131 674,84 EUR non-payé</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 xml:space="preserve">(jugement provisoirement exécutoire). </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18/12/1981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Manduria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15/09/1961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Senago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04/03/1984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04/12/1960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Saronno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16/12/1951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Tarante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15/05/2002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26/05/1966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Sassari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29/05/1962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Nerviano (Milan)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première instance, à la suite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une demande en quantification introduite le 6 octobre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quantification : 5/10/2009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111 099,18 EUR non-payé</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provisoirement exécutoire)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18/06/1986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Parete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14/09/1938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Massa Marittima (Grosseto)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27/07/2002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pour prescription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22/1/2014</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09/07/1959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02/07/2002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10/12/1945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Cava de</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 xml:space="preserve"> Tirreni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13/08/1981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Pontinia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07/01/1941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Bitonto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202 205,74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17/08/1941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10/09/2004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202 205,74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08/11/1945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Ciampino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05/07/2004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08/02/1967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11/07/1966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Campobasso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03/08/2000</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08/11/1962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Campobasso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03/08/2000</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09/02/1971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Campobasso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03/08/2000</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18/12/1965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Fiumicino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03/08/2000</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09/01/1967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04/06/2007</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09/06/1951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Mentana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01/10/2004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05/04/1941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Bitonto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04/08/1988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Lonate Pozzolo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28/07/1977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Fiumicino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02/05/2005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29/03/1940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Campobasso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02/05/2005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03/12/1962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Gabicce Mare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rejetée en Cassation 20/1/14 (en raison du montant déjà reconnu par la loi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210/92)</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 5/6/2014 </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07/04/1980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Corvaro di Borgorose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13/06/2006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30/06/1967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Corvaro di Borgorose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13/06/2006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19/10/1969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Terame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24/07/2006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24/09/1964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24/07/2006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05/04/1972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it-IT"/>
              </w:rPr>
              <w:t xml:space="preserve">San Vincenzo Valle Roveto, Fraz. </w:t>
            </w:r>
            <w:r w:rsidRPr="00874348">
              <w:rPr>
                <w:rFonts w:ascii="Times New Roman" w:eastAsia="Times New Roman" w:hAnsi="Times New Roman" w:cs="Times New Roman"/>
                <w:sz w:val="16"/>
                <w:szCs w:val="16"/>
              </w:rPr>
              <w:t>Roccavivi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07/08/1967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it-IT"/>
              </w:rPr>
              <w:t xml:space="preserve">San Vincenzo Valle Roveto - Fraz. </w:t>
            </w:r>
            <w:r w:rsidRPr="00874348">
              <w:rPr>
                <w:rFonts w:ascii="Times New Roman" w:eastAsia="Times New Roman" w:hAnsi="Times New Roman" w:cs="Times New Roman"/>
                <w:sz w:val="16"/>
                <w:szCs w:val="16"/>
              </w:rPr>
              <w:t>Roccavivi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22/02/1965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it-IT"/>
              </w:rPr>
              <w:t xml:space="preserve">San Vincenzo Valle Roveto - Fraz. </w:t>
            </w:r>
            <w:r w:rsidRPr="00874348">
              <w:rPr>
                <w:rFonts w:ascii="Times New Roman" w:eastAsia="Times New Roman" w:hAnsi="Times New Roman" w:cs="Times New Roman"/>
                <w:sz w:val="16"/>
                <w:szCs w:val="16"/>
              </w:rPr>
              <w:t>Roccavivi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17/05/1948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Thiesi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11/11/2001</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19/06/1950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Anzio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02/04/2004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04/09/1952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Maddaloni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07/12/1944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Albano Laziale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24/05/2000</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14 297,50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21/04/1956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Maranello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11/06/2004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09/09/1954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29/04/1981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29/09/1955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03/07/1943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30/11/1943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10/03/1978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Campobasso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03/08/2000</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informations disponibles au dossier</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14/06/1940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Stanghella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27/03/1987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Fonte Nuova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14/10/1953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Catane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31/05/1957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Castelvetrano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16/07/2007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10/03/1953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14/08/1983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Carinaro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 343 897,32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16/08/1962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Montopoli di Sabina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09/02/2005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08/11/1971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Fiesco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03/04/1967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Fiesco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17/09/1966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Varapodio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28/04/1974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419 690,44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29/09/1978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341 381,96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20/04/1976</w:t>
            </w:r>
          </w:p>
        </w:tc>
        <w:tc>
          <w:tcPr>
            <w:tcW w:w="90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06/1/2010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11/10/1974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31/12/2009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08/04/1964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Bellegra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14/12/2009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11/03/1956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Montorio Romeno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31/08/1999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rejetée en Cassation 20/1/14 (en raison du montant déjà reconnu par la loi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210/92)</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07/01/2010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16/03/1969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Siliqua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18/07/2006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13/01/2006</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27/04/1926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Siliqua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18/07/2006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13/01/2006</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12/08/1965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Siliqua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18/07/2006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13/01/2006</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20/11/1960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Siliqua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18/07/2006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13/01/2006</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16/08/1963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Cagliari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18/07/2006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13/01/2006</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19/05/1971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Casalvecchio di Puglia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29/12/2009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03/03/1946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23/12/2009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16/12/1932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Barzano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après cassation</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03/12/1962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Sirtori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après cassation</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05/01/2010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24/03/1942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Ciampino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28/02/2006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08/01/2010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informations disponibles au dossier</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13/01/1982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Turin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après cassation</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28/12/2009</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05/12/1971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Volvera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en deuxième instance, après cassation</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28/12/2009</w:t>
            </w:r>
          </w:p>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15/10/1945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Trevise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21/03/2003</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04/04/1931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Aversa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Pas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informations disponibles au dossier</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26/07/1958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Cesa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23/01/1969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Sant</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Antimo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29/05/1965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Marcellino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11/03/1967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Cesa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31/01/1963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Marcellino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10/09/1960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Cesa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17/09/1955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Marcellino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16/03/1947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Cesa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24/11/1972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Cesa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16/02/1972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Marano di 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 103 432,97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28/03/1976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18/11/1969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Caleppio di Settala (MI)</w:t>
            </w:r>
          </w:p>
        </w:tc>
        <w:tc>
          <w:tcPr>
            <w:tcW w:w="512" w:type="pct"/>
            <w:vAlign w:val="center"/>
          </w:tcPr>
          <w:p w:rsidR="007B2095" w:rsidRPr="00874348" w:rsidRDefault="007B2095" w:rsidP="00874348">
            <w:pPr>
              <w:jc w:val="center"/>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02/05/1959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01/04/1954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Rodano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14/12/1970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Parete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12/10/1955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Passoscuro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02/05/2005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25/04/1950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Scafati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24/09/1966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Barletta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11/07/1959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Masullas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19/08/1941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08/05/1978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Casalpusterlengo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12/06/1985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Casalpusterlengo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07/12/1949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Olbia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91 575,00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09/04/1942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22/08/2000</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pendante devant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 xml:space="preserve">appel après cassation </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28/09/1965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Abano Terme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17/08/1968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Corciano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17/07/1956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Alseno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01/01/1950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Castellamare di Stabia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03/11/1952</w:t>
            </w:r>
          </w:p>
        </w:tc>
        <w:tc>
          <w:tcPr>
            <w:tcW w:w="90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08/06/1974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01/08/1972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11/09/1962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08/11/2002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178 848,88 EUR -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26/12/1964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21/05/1960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01/08/1957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Pesaro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05/08/1983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Villanova D</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Albenga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06/08/2001</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rejetée en cassation pour prescription (5 ans)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17/01/1966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Vittore Olona (Milan)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08/04/1993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Vérone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14/11/1937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Sinalunga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07/06/2004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29/10/1955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Corte Palasio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11/08/1973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31/05/2007</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17/09/1936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Trevise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02/07/1961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Domodossola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26/10/1962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Torre Annunziata (Naples)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13/11/2002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La Cour de cassation rejette pour prescription 7/5/2014</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21/11/1975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Ciampino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05/07/2004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(raisons non spécifiées)</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17/05/1973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Ciampino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05/07/2004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(raisons non spécifiées)</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13/03/1984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03/09/2003</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16/03/1973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Zumpano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20/12/2004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Height w:val="378"/>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11/01/1974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 Guelfo di Bologne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17/12/1958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Lodi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Informations pas disponibles au dossier</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03/10/1983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Lodi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Informations pas disponibles au dossier</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04/02/1960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Montefiascone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20/04/2007</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05/06/1948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Poggiomarino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23/06/1975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14/12/2006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Casale sul Sile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17/09/1954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Madignano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11/04/1951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Castellaneta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18/02/1949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Castellaneta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14/12/1963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21/03/1963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Vigonza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09/09/2004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tranchée par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de Venise 18/2/2014 rejet pour tardivité (cinq ans)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3/4/2014</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07/12/1979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Ciampino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28/02/2006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Informations pas disponibles au dossier</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20/08/1971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Ciampino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28/02/2006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Informations pas disponibles au dossier</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26/08/1946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17/06/1947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Podenzano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03/06/1932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Castellaneta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06/05/1924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Tarante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18/04/1930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Castellaneta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03/03/1938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Tarante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25/04/1937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Noci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08/06/1956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Turin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22/02/1946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13/08/1939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Marcallo con Casone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29/02/1956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Ripalta Cremasca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première instance, à la suite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une demande en quantification introduite le 6 octobre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quantification : 5/10/2009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44 099,34 EUR non-payé (jugement provisoirement exécutoire)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14/07/1947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Venise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15/07/1941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Ruffiano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en deuxième instance 419 690,44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18/02/1970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Bologne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20/12/1999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20 000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envoyé (pas de motif spécifié)</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06/03/1952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Terranova da Sibari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19/07/2006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19/05/1975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Caivano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21/08/1983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Rivalta di Turin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20/04/2007</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11/07/1959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Alessandria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31/10/1986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Corte Palasio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Monopoli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16/09/1999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16/03/1941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Monteporzio Catone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15/09/1933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Castellammare di Stabia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18/08/1973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25/09/1974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17/11/1985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Casavatore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05/02/1967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Frosinone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03/12/1965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Messina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14/03/2002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20/08/1988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Arenova- Fiumicino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07/02/1978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Casale sul Sile (Trévise)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16/05/1943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Lodi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18/09/1953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Marsciano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16/10/2002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302 842,00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15/10/1976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16/10/2002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302 842,00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20/01/1921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Marsciano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16/10/2002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378 552,00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16/10/2002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302 842,00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19/02/1974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Qualiano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 244 381,72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22/12/1937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Asti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08/08/1967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Borgo Santa Maria (Latine)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première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instance, à la suite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une demande en quantification introduite le 3 octobre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quantification : 29/9/2009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236 750,05 EUR non-payé (jugement provisoirement exécutoire)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28/05/1970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Latina, Borgo Montello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 à la suite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une demande en quantification introduite le 3 octobre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quantification : 29/9/2009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350 955,53 EUR non-payé</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provisoirement exécutoire)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15/12/1984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Arsita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15/11/2002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rejetée par la cour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appel le 2/7/14 pour prescription (cinq ans)</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01/10/1951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01/01/1964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Palermo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03/08/2000</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07/12/1969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première instance, à la suite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une demande en quantification introduite le 6 octobre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quantification : 5/10/2009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181 540,15 EUR non-payé</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provisoirement exécutoire)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15/01/1988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Trontano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17/07/1956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Sovico (Monza * Brianza)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10/07/1975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Muggio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10/08/1983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Muggio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31/07/1971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Sant</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Antimo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02/03/1979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Sant</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Antimo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16/02/1953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Cosenza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07/02/1957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21/05/1959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Lodi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21/12/1980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Torchiarolo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15/05/1953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Corvaro di Borgorose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13/06/2006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15/11/1958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Airola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31/08/1999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rejetée en Cassation 20/1/14 (en raison du montant déjà reconnu par la loi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210/92)</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385ABF"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26/2/2013</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26/10/1964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Bari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14/11/1983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Marano di Naples</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26/02/1978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15/08/1983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16/02/1953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Modugno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09/11/1935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Monterotondo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Monterotondo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26/05/1967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Monterotondo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06/12/1939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Piane Crati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13/07/2007</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20/01/1982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Ardea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04/05/2005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19/12/1974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Agugliano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01/07/1970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Chiaravalle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17/12/1976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18/10/1949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La Spezia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02/08/1981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S.Maria Capua Vetere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18/11/1938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28/04/2003</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deuxième instance</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250 804,93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26/04/1935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13/09/2006</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29/12/1960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15/06/1965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30/04/1980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Cava de</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 xml:space="preserve"> Tirreni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03/08/1981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Cava de</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 xml:space="preserve"> Tirreni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26/12/1973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Cava de</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 xml:space="preserve"> Tirreni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08/05/1975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Cava de</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 xml:space="preserve"> Tirreni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02/06/1969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07/04/1965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Casaletto Ceredano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en première instance, à la suite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une demande en quantification introduite le 6 octobre 2006</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quantification : 5/10/2009</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73 886,20 EUR non-payé</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(jugement provisoirement exécutoire)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30/07/1974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Mosciano Sant</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Angelo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08/01/2003</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30/07/1974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Mosciano Sant</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Angelo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08/01/2003</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03/08/1971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Mosciano Sant</w:t>
            </w:r>
            <w:r w:rsidR="00874348" w:rsidRPr="00874348">
              <w:rPr>
                <w:rFonts w:ascii="Times New Roman" w:eastAsia="Times New Roman" w:hAnsi="Times New Roman" w:cs="Times New Roman"/>
                <w:sz w:val="16"/>
                <w:szCs w:val="16"/>
              </w:rPr>
              <w:t>’</w:t>
            </w:r>
            <w:r w:rsidRPr="00874348">
              <w:rPr>
                <w:rFonts w:ascii="Times New Roman" w:eastAsia="Times New Roman" w:hAnsi="Times New Roman" w:cs="Times New Roman"/>
                <w:sz w:val="16"/>
                <w:szCs w:val="16"/>
              </w:rPr>
              <w:t>Angelo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08/01/2003</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18/12/1935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Nocera Inferiore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Affaire “Emo ter”</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 475 319,05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04/12/1982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Riano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04/06/1985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Marcianise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06/11/1958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Palermo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03/08/1999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15/02/1944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Parete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19/07/1952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Portici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03/07/1946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Rende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28/03/1950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08/05/1963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06/10/1974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Palo del Colle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08/06/1971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Palo del Colle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01/09/1929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Cremosano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17/06/1952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Tivoli</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11/06/1974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Giugliano in Campania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25/08/1963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Parete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17/03/1952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17/05/1956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Cellole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16/11/1966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26/06 /2002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en Cassation pour prescription (5 ans) 23/1/2014</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 4/3/2013</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26/09/1965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Ascoli Piceno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04/08/1964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Folignano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03/09/1974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Ascoli Piceno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07/11/1967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Ascoli Piceno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08/02/1972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Ascoli Piceno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13/06/1962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Altivole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03/05/1977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Pomezia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11/07/2005</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”Emo quarter”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08/07/1971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Poggio Marino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27/12/1967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Torre del Greco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14/10/1965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Poggiomarino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12/05/1947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Poggiomarino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24/10/1966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Latina Scalo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03/09/1941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Rome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16/10/2002</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Montant reconnu</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en appel (introduit le 13/10/2009) 302 842,00 EUR payé</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09/02/1964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Stanghella</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27/10/1999</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24/11/1945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Pieve di Soligo</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11/05/2004</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Affaire pendante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12/09/1987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Catane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5"/>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13/08/1980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Villa Stellone</w:t>
            </w:r>
          </w:p>
        </w:tc>
        <w:tc>
          <w:tcPr>
            <w:tcW w:w="512" w:type="pct"/>
            <w:vAlign w:val="center"/>
          </w:tcPr>
          <w:p w:rsidR="007B2095" w:rsidRPr="00874348" w:rsidRDefault="007B2095" w:rsidP="00874348">
            <w:pPr>
              <w:jc w:val="center"/>
              <w:rPr>
                <w:rFonts w:ascii="Times New Roman" w:eastAsia="Times New Roman" w:hAnsi="Times New Roman" w:cs="Times New Roman"/>
                <w:color w:val="000000"/>
                <w:sz w:val="16"/>
                <w:szCs w:val="16"/>
              </w:rPr>
            </w:pPr>
            <w:r w:rsidRPr="00874348">
              <w:rPr>
                <w:rFonts w:ascii="Times New Roman" w:eastAsia="Times New Roman" w:hAnsi="Times New Roman" w:cs="Times New Roman"/>
                <w:color w:val="000000"/>
                <w:sz w:val="16"/>
                <w:szCs w:val="16"/>
              </w:rPr>
              <w:t>14/05/2002</w:t>
            </w:r>
          </w:p>
        </w:tc>
        <w:tc>
          <w:tcPr>
            <w:tcW w:w="781"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lang w:val="fr-FR"/>
              </w:rPr>
              <w:t>Affaire “Emo ter”</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bl>
    <w:p w:rsidR="007B2095" w:rsidRPr="00874348" w:rsidRDefault="007B2095" w:rsidP="00874348">
      <w:pPr>
        <w:rPr>
          <w:rFonts w:ascii="Times New Roman" w:eastAsia="Times New Roman" w:hAnsi="Times New Roman" w:cs="Times New Roman"/>
          <w:sz w:val="16"/>
          <w:szCs w:val="16"/>
          <w:lang w:val="fr-FR"/>
        </w:rPr>
      </w:pPr>
    </w:p>
    <w:p w:rsidR="007B2095" w:rsidRPr="00874348" w:rsidRDefault="007B2095" w:rsidP="00874348">
      <w:pPr>
        <w:keepNext/>
        <w:keepLines/>
        <w:ind w:left="-567"/>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b/>
          <w:sz w:val="16"/>
          <w:szCs w:val="16"/>
          <w:u w:val="single"/>
          <w:lang w:val="fr-FR"/>
        </w:rPr>
        <w:t>19. Requête n</w:t>
      </w:r>
      <w:r w:rsidR="00385ABF" w:rsidRPr="00874348">
        <w:rPr>
          <w:rFonts w:ascii="Times New Roman" w:eastAsia="Times New Roman" w:hAnsi="Times New Roman" w:cs="Times New Roman"/>
          <w:b/>
          <w:sz w:val="16"/>
          <w:szCs w:val="16"/>
          <w:u w:val="single"/>
          <w:vertAlign w:val="superscript"/>
          <w:lang w:val="fr-FR"/>
        </w:rPr>
        <w:t>o</w:t>
      </w:r>
      <w:r w:rsidRPr="00874348">
        <w:rPr>
          <w:rFonts w:ascii="Times New Roman" w:eastAsia="Times New Roman" w:hAnsi="Times New Roman" w:cs="Times New Roman"/>
          <w:b/>
          <w:sz w:val="16"/>
          <w:szCs w:val="16"/>
          <w:u w:val="single"/>
          <w:lang w:val="fr-FR"/>
        </w:rPr>
        <w:t xml:space="preserve"> 41143/12 M.A. et cinquante-sept autres requérants</w:t>
      </w:r>
    </w:p>
    <w:p w:rsidR="007B2095" w:rsidRPr="00874348" w:rsidRDefault="007B2095" w:rsidP="00874348">
      <w:pPr>
        <w:keepNext/>
        <w:keepLines/>
        <w:ind w:left="-567"/>
        <w:rPr>
          <w:rFonts w:ascii="Times New Roman" w:eastAsia="Times New Roman" w:hAnsi="Times New Roman" w:cs="Times New Roman"/>
          <w:b/>
          <w:sz w:val="16"/>
          <w:szCs w:val="16"/>
          <w:u w:val="single"/>
          <w:lang w:val="fr-FR"/>
        </w:rPr>
      </w:pPr>
      <w:r w:rsidRPr="00874348">
        <w:rPr>
          <w:rFonts w:ascii="Times New Roman" w:eastAsia="Times New Roman" w:hAnsi="Times New Roman" w:cs="Times New Roman"/>
          <w:sz w:val="16"/>
          <w:szCs w:val="16"/>
          <w:lang w:val="fr-FR"/>
        </w:rPr>
        <w:t>Les requérants ont introduit leur requête le 16/5/2012. Ils sont représentés devant la Cour par M</w:t>
      </w:r>
      <w:r w:rsidRPr="00874348">
        <w:rPr>
          <w:rFonts w:ascii="Times New Roman" w:eastAsia="Times New Roman" w:hAnsi="Times New Roman" w:cs="Times New Roman"/>
          <w:sz w:val="16"/>
          <w:szCs w:val="16"/>
          <w:vertAlign w:val="superscript"/>
          <w:lang w:val="fr-FR"/>
        </w:rPr>
        <w:t>es</w:t>
      </w:r>
      <w:r w:rsidRPr="00874348">
        <w:rPr>
          <w:rFonts w:ascii="Times New Roman" w:eastAsia="Times New Roman" w:hAnsi="Times New Roman" w:cs="Times New Roman"/>
          <w:sz w:val="16"/>
          <w:szCs w:val="16"/>
          <w:lang w:val="fr-FR"/>
        </w:rPr>
        <w:t xml:space="preserve"> LANA et SACCUCCI.</w:t>
      </w:r>
    </w:p>
    <w:p w:rsidR="007B2095" w:rsidRPr="00874348" w:rsidRDefault="007B2095" w:rsidP="00874348">
      <w:pPr>
        <w:keepNext/>
        <w:keepLines/>
        <w:rPr>
          <w:rFonts w:ascii="Times New Roman" w:eastAsia="Times New Roman" w:hAnsi="Times New Roman" w:cs="Times New Roman"/>
          <w:b/>
          <w:sz w:val="16"/>
          <w:szCs w:val="16"/>
          <w:lang w:val="fr-FR"/>
        </w:rPr>
      </w:pPr>
    </w:p>
    <w:tbl>
      <w:tblPr>
        <w:tblStyle w:val="ECHRListTable1"/>
        <w:tblW w:w="4795" w:type="pct"/>
        <w:tblInd w:w="-885" w:type="dxa"/>
        <w:tblLook w:val="05E0" w:firstRow="1" w:lastRow="1" w:firstColumn="1" w:lastColumn="1" w:noHBand="0" w:noVBand="1"/>
      </w:tblPr>
      <w:tblGrid>
        <w:gridCol w:w="1144"/>
        <w:gridCol w:w="1449"/>
        <w:gridCol w:w="2173"/>
        <w:gridCol w:w="1228"/>
        <w:gridCol w:w="1873"/>
        <w:gridCol w:w="4126"/>
      </w:tblGrid>
      <w:tr w:rsidR="007B2095" w:rsidRPr="00874348" w:rsidTr="000E3E96">
        <w:trPr>
          <w:cnfStyle w:val="100000000000" w:firstRow="1" w:lastRow="0" w:firstColumn="0" w:lastColumn="0" w:oddVBand="0" w:evenVBand="0" w:oddHBand="0" w:evenHBand="0" w:firstRowFirstColumn="0" w:firstRowLastColumn="0" w:lastRowFirstColumn="0" w:lastRowLastColumn="0"/>
          <w:cantSplit/>
        </w:trPr>
        <w:tc>
          <w:tcPr>
            <w:tcW w:w="477"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N</w:t>
            </w:r>
            <w:r w:rsidR="00385ABF" w:rsidRPr="00874348">
              <w:rPr>
                <w:rFonts w:ascii="Times New Roman" w:eastAsia="Times New Roman" w:hAnsi="Times New Roman" w:cs="Times New Roman"/>
                <w:sz w:val="16"/>
                <w:szCs w:val="16"/>
                <w:vertAlign w:val="superscript"/>
              </w:rPr>
              <w:t>o</w:t>
            </w:r>
          </w:p>
        </w:tc>
        <w:tc>
          <w:tcPr>
            <w:tcW w:w="604"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Date de naissance</w:t>
            </w:r>
          </w:p>
        </w:tc>
        <w:tc>
          <w:tcPr>
            <w:tcW w:w="906"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Lieu de résidence</w:t>
            </w:r>
          </w:p>
        </w:tc>
        <w:tc>
          <w:tcPr>
            <w:tcW w:w="512" w:type="pct"/>
          </w:tcPr>
          <w:p w:rsidR="007B2095" w:rsidRPr="00874348" w:rsidRDefault="007B2095" w:rsidP="00874348">
            <w:pPr>
              <w:keepNext/>
              <w:keepLines/>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Introduction action civile</w:t>
            </w:r>
          </w:p>
        </w:tc>
        <w:tc>
          <w:tcPr>
            <w:tcW w:w="781"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Étapes de la procédure interne</w:t>
            </w:r>
          </w:p>
        </w:tc>
        <w:tc>
          <w:tcPr>
            <w:tcW w:w="1720" w:type="pct"/>
          </w:tcPr>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Demande d</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adhésion: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Introduction</w:t>
            </w:r>
          </w:p>
          <w:p w:rsidR="007B2095" w:rsidRPr="00874348" w:rsidRDefault="007B2095" w:rsidP="00874348">
            <w:pPr>
              <w:keepNext/>
              <w:keepLines/>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Décision ou Exclusion prévue par la loi</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24/07/1973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Ponsacco (Pistoia)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05/09/1986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Piombino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01/10/1955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Rejetée (raisons non spécifiées)</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12/12/1960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Giovanni V.(Novara)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01/07/1951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Lastra a Signa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24/07/1975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w:t>
            </w:r>
            <w:r w:rsidR="00385ABF" w:rsidRPr="00874348">
              <w:rPr>
                <w:rFonts w:ascii="Times New Roman" w:eastAsia="Times New Roman" w:hAnsi="Times New Roman" w:cs="Times New Roman"/>
                <w:sz w:val="16"/>
                <w:szCs w:val="16"/>
                <w:lang w:val="fr-FR"/>
              </w:rPr>
              <w:t xml:space="preserve"> </w:t>
            </w:r>
            <w:r w:rsidRPr="00874348">
              <w:rPr>
                <w:rFonts w:ascii="Times New Roman" w:eastAsia="Times New Roman" w:hAnsi="Times New Roman" w:cs="Times New Roman"/>
                <w:sz w:val="16"/>
                <w:szCs w:val="16"/>
                <w:lang w:val="fr-FR"/>
              </w:rPr>
              <w:t>1 c)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16/05/1976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16/01/1950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Sesto Fiorentino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01/08/1981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Empoli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27/11/1976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Agliana (Pistoia)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31/01/1974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Agliana (Pistoia)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30/11/1953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Carmignano (Prato)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24/05/1977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Prato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24/09/1980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San Giovanni Valdarno (Arezzo)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05/12/1955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Arezzo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30/11/1955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Montepulciano (Siena)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26/03/1936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Agliana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25/09/1978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Livourne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29/04/1971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Sesto Fiorentino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17/01/1947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Massa Macinaia - Capannori (Lucca)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19/12/1951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29/09/1959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Livourne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17/03/1981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Lastra a Signa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14/10/1982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Lastra a Signa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28/09/1972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Ferno (Varèse)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1999</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25/11/1950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Piombino (Livourne)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04/02/1953</w:t>
            </w:r>
          </w:p>
        </w:tc>
        <w:tc>
          <w:tcPr>
            <w:tcW w:w="906"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 xml:space="preserve">San Romeno Montopoli Valdarno (Pistoia) </w:t>
            </w:r>
          </w:p>
        </w:tc>
        <w:tc>
          <w:tcPr>
            <w:tcW w:w="512" w:type="pct"/>
          </w:tcPr>
          <w:p w:rsidR="007B2095" w:rsidRPr="00874348" w:rsidRDefault="007B2095" w:rsidP="00874348">
            <w:pPr>
              <w:jc w:val="left"/>
              <w:rPr>
                <w:rFonts w:ascii="Times New Roman" w:eastAsia="Times New Roman" w:hAnsi="Times New Roman" w:cs="Times New Roman"/>
                <w:sz w:val="16"/>
                <w:szCs w:val="16"/>
                <w:lang w:val="it-IT"/>
              </w:rPr>
            </w:pPr>
            <w:r w:rsidRPr="00874348">
              <w:rPr>
                <w:rFonts w:ascii="Times New Roman" w:eastAsia="Times New Roman" w:hAnsi="Times New Roman" w:cs="Times New Roman"/>
                <w:sz w:val="16"/>
                <w:szCs w:val="16"/>
                <w:lang w:val="it-IT"/>
              </w:rPr>
              <w:t>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18/04/1967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05/02/1973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30/05/1956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Scandicci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07/06/1962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Marcello Pistoiese (Pistoia)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09/09/1958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05/12/1970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San Giovanni Rotondo (Foggia)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21/02/1926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Montevarchi (Arezzo)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26/05/1981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Vicchio del Mugello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22/03/1948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Cavriglia (Arezzo)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19/11/1953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Milan</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Déclaré recevable en vue de la transaction</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04/01/1949</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Livourne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19/11/1963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Castelfranco di Sotto (Pistoia)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12/02/1956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Arese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07/12/1933</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Sorano (Grosseto)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14/07/1944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31/10/1965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14/01/1980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Campi Bisenzio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31/07/1968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Sorano (Grosseto)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19/06/1951</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Prato</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24/04/1978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Cintoia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2005</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03/11/1985</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Frignano (Caserte)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c)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25/03/1986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Montescudaio (Pistoia)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09/10/1972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Greve in Chianti (Florence)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01/10/1964</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30/05/1950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Agliana (Pistoia)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2006</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23/09/1972</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Arsina (Lucca)</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16/03/1967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28/04/1938</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Vérone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2007</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Dossier introuvable au niveau interne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31/05/1976</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Monsummano Terme (Pistoia)</w:t>
            </w:r>
          </w:p>
        </w:tc>
        <w:tc>
          <w:tcPr>
            <w:tcW w:w="512"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17/08/1967</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 xml:space="preserve">Arezzo </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première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Requête pendante</w:t>
            </w:r>
          </w:p>
        </w:tc>
      </w:tr>
      <w:tr w:rsidR="007B2095" w:rsidRPr="00874348" w:rsidTr="000E3E96">
        <w:trPr>
          <w:cantSplit/>
        </w:trPr>
        <w:tc>
          <w:tcPr>
            <w:tcW w:w="477" w:type="pct"/>
          </w:tcPr>
          <w:p w:rsidR="007B2095" w:rsidRPr="00874348" w:rsidRDefault="007B2095" w:rsidP="00874348">
            <w:pPr>
              <w:numPr>
                <w:ilvl w:val="0"/>
                <w:numId w:val="16"/>
              </w:numPr>
              <w:contextualSpacing/>
              <w:jc w:val="left"/>
              <w:rPr>
                <w:rFonts w:ascii="Times New Roman" w:eastAsia="Times New Roman" w:hAnsi="Times New Roman" w:cs="Times New Roman"/>
                <w:b/>
                <w:sz w:val="16"/>
                <w:szCs w:val="16"/>
                <w:lang w:val="fr-FR"/>
              </w:rPr>
            </w:pPr>
          </w:p>
        </w:tc>
        <w:tc>
          <w:tcPr>
            <w:tcW w:w="604"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13/06/1950</w:t>
            </w:r>
          </w:p>
        </w:tc>
        <w:tc>
          <w:tcPr>
            <w:tcW w:w="906"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Florence</w:t>
            </w:r>
          </w:p>
        </w:tc>
        <w:tc>
          <w:tcPr>
            <w:tcW w:w="512" w:type="pct"/>
          </w:tcPr>
          <w:p w:rsidR="007B2095" w:rsidRPr="00874348" w:rsidRDefault="007B2095" w:rsidP="00874348">
            <w:pPr>
              <w:jc w:val="left"/>
              <w:rPr>
                <w:rFonts w:ascii="Times New Roman" w:eastAsia="Times New Roman" w:hAnsi="Times New Roman" w:cs="Times New Roman"/>
                <w:sz w:val="16"/>
                <w:szCs w:val="16"/>
              </w:rPr>
            </w:pPr>
            <w:r w:rsidRPr="00874348">
              <w:rPr>
                <w:rFonts w:ascii="Times New Roman" w:eastAsia="Times New Roman" w:hAnsi="Times New Roman" w:cs="Times New Roman"/>
                <w:sz w:val="16"/>
                <w:szCs w:val="16"/>
              </w:rPr>
              <w:t>2004</w:t>
            </w:r>
          </w:p>
        </w:tc>
        <w:tc>
          <w:tcPr>
            <w:tcW w:w="781"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Procédure pendante en deuxième instance</w:t>
            </w:r>
          </w:p>
        </w:tc>
        <w:tc>
          <w:tcPr>
            <w:tcW w:w="1720" w:type="pct"/>
          </w:tcPr>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Au plus tard le 19/01/2010</w:t>
            </w:r>
          </w:p>
          <w:p w:rsidR="007B2095" w:rsidRPr="00874348" w:rsidRDefault="007B2095" w:rsidP="00874348">
            <w:pPr>
              <w:jc w:val="left"/>
              <w:rPr>
                <w:rFonts w:ascii="Times New Roman" w:eastAsia="Times New Roman" w:hAnsi="Times New Roman" w:cs="Times New Roman"/>
                <w:sz w:val="16"/>
                <w:szCs w:val="16"/>
                <w:lang w:val="fr-FR"/>
              </w:rPr>
            </w:pPr>
            <w:r w:rsidRPr="00874348">
              <w:rPr>
                <w:rFonts w:ascii="Times New Roman" w:eastAsia="Times New Roman" w:hAnsi="Times New Roman" w:cs="Times New Roman"/>
                <w:sz w:val="16"/>
                <w:szCs w:val="16"/>
                <w:lang w:val="fr-FR"/>
              </w:rPr>
              <w:t>Préavis de rejet au sens de l</w:t>
            </w:r>
            <w:r w:rsidR="00874348" w:rsidRPr="00874348">
              <w:rPr>
                <w:rFonts w:ascii="Times New Roman" w:eastAsia="Times New Roman" w:hAnsi="Times New Roman" w:cs="Times New Roman"/>
                <w:sz w:val="16"/>
                <w:szCs w:val="16"/>
                <w:lang w:val="fr-FR"/>
              </w:rPr>
              <w:t>’</w:t>
            </w:r>
            <w:r w:rsidRPr="00874348">
              <w:rPr>
                <w:rFonts w:ascii="Times New Roman" w:eastAsia="Times New Roman" w:hAnsi="Times New Roman" w:cs="Times New Roman"/>
                <w:sz w:val="16"/>
                <w:szCs w:val="16"/>
                <w:lang w:val="fr-FR"/>
              </w:rPr>
              <w:t>article 5 §§ 1 a) et 2 du décret n</w:t>
            </w:r>
            <w:r w:rsidR="00385ABF" w:rsidRPr="00874348">
              <w:rPr>
                <w:rFonts w:ascii="Times New Roman" w:eastAsia="Times New Roman" w:hAnsi="Times New Roman" w:cs="Times New Roman"/>
                <w:sz w:val="16"/>
                <w:szCs w:val="16"/>
                <w:vertAlign w:val="superscript"/>
                <w:lang w:val="fr-FR"/>
              </w:rPr>
              <w:t>o</w:t>
            </w:r>
            <w:r w:rsidRPr="00874348">
              <w:rPr>
                <w:rFonts w:ascii="Times New Roman" w:eastAsia="Times New Roman" w:hAnsi="Times New Roman" w:cs="Times New Roman"/>
                <w:sz w:val="16"/>
                <w:szCs w:val="16"/>
                <w:lang w:val="fr-FR"/>
              </w:rPr>
              <w:t xml:space="preserve"> 162/12</w:t>
            </w:r>
          </w:p>
        </w:tc>
      </w:tr>
    </w:tbl>
    <w:p w:rsidR="007D2E63" w:rsidRPr="00874348" w:rsidRDefault="007D2E63" w:rsidP="00874348">
      <w:pPr>
        <w:ind w:right="-714"/>
        <w:rPr>
          <w:rFonts w:ascii="Times New Roman" w:hAnsi="Times New Roman" w:cs="Times New Roman"/>
          <w:b/>
          <w:szCs w:val="24"/>
          <w:u w:val="single"/>
          <w:lang w:val="fr-FR"/>
        </w:rPr>
      </w:pPr>
    </w:p>
    <w:sectPr w:rsidR="007D2E63" w:rsidRPr="00874348" w:rsidSect="007D2E63">
      <w:headerReference w:type="even" r:id="rId52"/>
      <w:headerReference w:type="default" r:id="rId53"/>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57" w:rsidRDefault="006E4257" w:rsidP="00873EC1">
      <w:r>
        <w:separator/>
      </w:r>
    </w:p>
  </w:endnote>
  <w:endnote w:type="continuationSeparator" w:id="0">
    <w:p w:rsidR="006E4257" w:rsidRDefault="006E4257" w:rsidP="0087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71" w:rsidRPr="00150BFA" w:rsidRDefault="00313171" w:rsidP="00D53B1C">
    <w:pPr>
      <w:jc w:val="center"/>
    </w:pPr>
    <w:r>
      <w:rPr>
        <w:noProof/>
        <w:lang w:val="it-IT" w:eastAsia="it-IT"/>
      </w:rPr>
      <w:drawing>
        <wp:inline distT="0" distB="0" distL="0" distR="0" wp14:anchorId="1C944273" wp14:editId="7EC5F204">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13171" w:rsidRDefault="00313171" w:rsidP="00D53B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71" w:rsidRDefault="00313171" w:rsidP="00D53B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57" w:rsidRDefault="006E4257" w:rsidP="00873EC1">
      <w:r>
        <w:separator/>
      </w:r>
    </w:p>
  </w:footnote>
  <w:footnote w:type="continuationSeparator" w:id="0">
    <w:p w:rsidR="006E4257" w:rsidRDefault="006E4257" w:rsidP="00873EC1">
      <w:r>
        <w:continuationSeparator/>
      </w:r>
    </w:p>
  </w:footnote>
  <w:footnote w:id="1">
    <w:p w:rsidR="00313171" w:rsidRPr="00905FCE" w:rsidRDefault="00313171" w:rsidP="00506071">
      <w:pPr>
        <w:pStyle w:val="Testonotaapidipagina"/>
        <w:rPr>
          <w:lang w:val="fr-FR"/>
        </w:rPr>
      </w:pPr>
      <w:r w:rsidRPr="00905FCE">
        <w:footnoteRef/>
      </w:r>
      <w:r>
        <w:rPr>
          <w:lang w:val="fr-FR"/>
        </w:rPr>
        <w:t>.  </w:t>
      </w:r>
      <w:r w:rsidRPr="00905FCE">
        <w:rPr>
          <w:lang w:val="fr-FR"/>
        </w:rPr>
        <w:t>Il s’agit des requérants indiqués dans la liste B en annexe aux n</w:t>
      </w:r>
      <w:r w:rsidRPr="00D02E4A">
        <w:rPr>
          <w:vertAlign w:val="superscript"/>
          <w:lang w:val="fr-FR"/>
        </w:rPr>
        <w:t>os</w:t>
      </w:r>
      <w:r w:rsidRPr="00905FCE">
        <w:rPr>
          <w:lang w:val="fr-FR"/>
        </w:rPr>
        <w:t xml:space="preserve"> 50, 57, 103, 109, 137, 200, 203, 224, 226, 227, 231 et 268.</w:t>
      </w:r>
    </w:p>
  </w:footnote>
  <w:footnote w:id="2">
    <w:p w:rsidR="00313171" w:rsidRPr="00905FCE" w:rsidRDefault="00313171" w:rsidP="00506071">
      <w:pPr>
        <w:pStyle w:val="Testonotaapidipagina"/>
        <w:rPr>
          <w:lang w:val="fr-FR"/>
        </w:rPr>
      </w:pPr>
      <w:r w:rsidRPr="00905FCE">
        <w:footnoteRef/>
      </w:r>
      <w:r>
        <w:rPr>
          <w:lang w:val="fr-FR"/>
        </w:rPr>
        <w:t>.  </w:t>
      </w:r>
      <w:r w:rsidRPr="00905FCE">
        <w:rPr>
          <w:lang w:val="fr-FR"/>
        </w:rPr>
        <w:t>Il s’agit des requérants indiqués dans la liste B en annexe aux n</w:t>
      </w:r>
      <w:r w:rsidRPr="00D02E4A">
        <w:rPr>
          <w:vertAlign w:val="superscript"/>
          <w:lang w:val="fr-FR"/>
        </w:rPr>
        <w:t>os</w:t>
      </w:r>
      <w:r w:rsidRPr="00905FCE">
        <w:rPr>
          <w:lang w:val="fr-FR"/>
        </w:rPr>
        <w:t xml:space="preserve"> 103, 109, 137, 203 et 224.</w:t>
      </w:r>
    </w:p>
  </w:footnote>
  <w:footnote w:id="3">
    <w:p w:rsidR="00313171" w:rsidRPr="00905FCE" w:rsidRDefault="00313171" w:rsidP="00506071">
      <w:pPr>
        <w:pStyle w:val="Testonotaapidipagina"/>
        <w:rPr>
          <w:lang w:val="fr-FR"/>
        </w:rPr>
      </w:pPr>
      <w:r w:rsidRPr="00905FCE">
        <w:footnoteRef/>
      </w:r>
      <w:r>
        <w:rPr>
          <w:lang w:val="fr-FR"/>
        </w:rPr>
        <w:t>.  </w:t>
      </w:r>
      <w:r w:rsidRPr="00905FCE">
        <w:rPr>
          <w:lang w:val="fr-FR"/>
        </w:rPr>
        <w:t>Il s’agit des requérants indiqués dans la liste B en annexe aux n</w:t>
      </w:r>
      <w:r w:rsidRPr="00D02E4A">
        <w:rPr>
          <w:vertAlign w:val="superscript"/>
          <w:lang w:val="fr-FR"/>
        </w:rPr>
        <w:t>os</w:t>
      </w:r>
      <w:r w:rsidRPr="00905FCE">
        <w:rPr>
          <w:lang w:val="fr-FR"/>
        </w:rPr>
        <w:t xml:space="preserve"> 50, 57, 200, 226, 227, 231 et 268.</w:t>
      </w:r>
    </w:p>
  </w:footnote>
  <w:footnote w:id="4">
    <w:p w:rsidR="00313171" w:rsidRPr="00030C98" w:rsidRDefault="00313171" w:rsidP="00506071">
      <w:pPr>
        <w:pStyle w:val="Testonotaapidipagina"/>
        <w:rPr>
          <w:lang w:val="fr-FR"/>
        </w:rPr>
      </w:pPr>
      <w:r w:rsidRPr="00030C98">
        <w:footnoteRef/>
      </w:r>
      <w:r w:rsidRPr="00030C98">
        <w:rPr>
          <w:lang w:val="fr-FR"/>
        </w:rPr>
        <w:t>.  Il s’agit des requérants indiqués dans la liste B en annexe aux n</w:t>
      </w:r>
      <w:r w:rsidRPr="00D02E4A">
        <w:rPr>
          <w:vertAlign w:val="superscript"/>
          <w:lang w:val="fr-FR"/>
        </w:rPr>
        <w:t>os</w:t>
      </w:r>
      <w:r w:rsidRPr="00030C98">
        <w:rPr>
          <w:lang w:val="fr-FR"/>
        </w:rPr>
        <w:t xml:space="preserve"> 14, 15, 19, 34, 46, 49, 50, 51, 64 et 65 de la requête no 16178/13, au n° 17 de la requête n° 64572/13, aux numéros 1, 2, 8, 21, 26, 30, 31, 33, 42, 43, 48, 53 et 77 de la requête n</w:t>
      </w:r>
      <w:r w:rsidRPr="00D02E4A">
        <w:rPr>
          <w:vertAlign w:val="superscript"/>
          <w:lang w:val="fr-FR"/>
        </w:rPr>
        <w:t>o</w:t>
      </w:r>
      <w:r w:rsidRPr="00030C98">
        <w:rPr>
          <w:lang w:val="fr-FR"/>
        </w:rPr>
        <w:t xml:space="preserve"> 158/12 ainsi qu’aux n</w:t>
      </w:r>
      <w:r w:rsidRPr="00EC7D0C">
        <w:rPr>
          <w:vertAlign w:val="superscript"/>
          <w:lang w:val="fr-FR"/>
        </w:rPr>
        <w:t>os</w:t>
      </w:r>
      <w:r w:rsidRPr="00030C98">
        <w:rPr>
          <w:lang w:val="fr-FR"/>
        </w:rPr>
        <w:t xml:space="preserve"> 9, 34, 35, 36, 59, 73, 86, 91, 92, 93, 94, 114, 115, 116, 117, 118, 215, 248, 254, 255 et 260 de la requête n° 8154/12.</w:t>
      </w:r>
    </w:p>
  </w:footnote>
  <w:footnote w:id="5">
    <w:p w:rsidR="00313171" w:rsidRPr="00030C98" w:rsidRDefault="00313171" w:rsidP="00506071">
      <w:pPr>
        <w:pStyle w:val="Testonotaapidipagina"/>
        <w:rPr>
          <w:lang w:val="fr-FR"/>
        </w:rPr>
      </w:pPr>
      <w:r w:rsidRPr="00030C98">
        <w:footnoteRef/>
      </w:r>
      <w:r>
        <w:rPr>
          <w:lang w:val="fr-FR"/>
        </w:rPr>
        <w:t>.  </w:t>
      </w:r>
      <w:r w:rsidRPr="00030C98">
        <w:rPr>
          <w:lang w:val="fr-FR"/>
        </w:rPr>
        <w:t>Il s’agit notamment des requérants concernés faisant partie de la requête n° 158/12 et des requérants indiqués aux nos 14, 15, 19, 49, 50, 51, 64 et 65 de la requête n</w:t>
      </w:r>
      <w:r w:rsidRPr="00D02E4A">
        <w:rPr>
          <w:vertAlign w:val="superscript"/>
          <w:lang w:val="fr-FR"/>
        </w:rPr>
        <w:t>o</w:t>
      </w:r>
      <w:r w:rsidRPr="00030C98">
        <w:rPr>
          <w:lang w:val="fr-FR"/>
        </w:rPr>
        <w:t xml:space="preserve"> 16178/13.</w:t>
      </w:r>
    </w:p>
  </w:footnote>
  <w:footnote w:id="6">
    <w:p w:rsidR="00313171" w:rsidRPr="00030C98" w:rsidRDefault="00313171" w:rsidP="00506071">
      <w:pPr>
        <w:pStyle w:val="Testonotaapidipagina"/>
        <w:rPr>
          <w:lang w:val="fr-FR"/>
        </w:rPr>
      </w:pPr>
      <w:r w:rsidRPr="00030C98">
        <w:footnoteRef/>
      </w:r>
      <w:r>
        <w:rPr>
          <w:lang w:val="fr-FR"/>
        </w:rPr>
        <w:t>.  </w:t>
      </w:r>
      <w:r w:rsidRPr="00030C98">
        <w:rPr>
          <w:lang w:val="fr-FR"/>
        </w:rPr>
        <w:t>Il s’agit des requérants indiqués dans la liste B en annexe aux n</w:t>
      </w:r>
      <w:r w:rsidRPr="00D02E4A">
        <w:rPr>
          <w:vertAlign w:val="superscript"/>
          <w:lang w:val="fr-FR"/>
        </w:rPr>
        <w:t>os</w:t>
      </w:r>
      <w:r w:rsidRPr="00030C98">
        <w:rPr>
          <w:lang w:val="fr-FR"/>
        </w:rPr>
        <w:t xml:space="preserve"> 50, 57, 103, 109, 137, 200, 203, 224, 226, 227, 231 et 268.</w:t>
      </w:r>
    </w:p>
  </w:footnote>
  <w:footnote w:id="7">
    <w:p w:rsidR="00313171" w:rsidRPr="0020642C" w:rsidRDefault="00313171" w:rsidP="00506071">
      <w:pPr>
        <w:pStyle w:val="Testonotaapidipagina"/>
        <w:rPr>
          <w:lang w:val="fr-FR"/>
        </w:rPr>
      </w:pPr>
      <w:r w:rsidRPr="0020642C">
        <w:footnoteRef/>
      </w:r>
      <w:r w:rsidRPr="0020642C">
        <w:rPr>
          <w:lang w:val="fr-FR"/>
        </w:rPr>
        <w:t>.  Il s’agit des requérants indiqués dans la liste B en annexe aux n</w:t>
      </w:r>
      <w:r w:rsidRPr="00D02E4A">
        <w:rPr>
          <w:vertAlign w:val="superscript"/>
          <w:lang w:val="fr-FR"/>
        </w:rPr>
        <w:t>os</w:t>
      </w:r>
      <w:r w:rsidRPr="0020642C">
        <w:rPr>
          <w:lang w:val="fr-FR"/>
        </w:rPr>
        <w:t xml:space="preserve"> 103, 109, 137, 203 et 224.</w:t>
      </w:r>
    </w:p>
  </w:footnote>
  <w:footnote w:id="8">
    <w:p w:rsidR="00313171" w:rsidRPr="00B13329" w:rsidRDefault="00313171" w:rsidP="0020642C">
      <w:pPr>
        <w:pStyle w:val="Testonotaapidipagina"/>
        <w:rPr>
          <w:lang w:val="fr-FR"/>
        </w:rPr>
      </w:pPr>
      <w:r w:rsidRPr="0020642C">
        <w:footnoteRef/>
      </w:r>
      <w:r>
        <w:rPr>
          <w:lang w:val="fr-FR"/>
        </w:rPr>
        <w:t>.  Il s’agit d</w:t>
      </w:r>
      <w:r>
        <w:rPr>
          <w:rFonts w:cs="Calibri"/>
          <w:lang w:val="fr-FR"/>
        </w:rPr>
        <w:t>es requérants</w:t>
      </w:r>
      <w:r w:rsidRPr="00E66B30">
        <w:rPr>
          <w:rFonts w:cs="Calibri"/>
          <w:lang w:val="fr-FR"/>
        </w:rPr>
        <w:t xml:space="preserve"> </w:t>
      </w:r>
      <w:r>
        <w:rPr>
          <w:rFonts w:cs="Calibri"/>
          <w:lang w:val="fr-FR"/>
        </w:rPr>
        <w:t xml:space="preserve">indiqués dans la liste B en annexe aux </w:t>
      </w:r>
      <w:r>
        <w:rPr>
          <w:lang w:val="fr-FR"/>
        </w:rPr>
        <w:t>n</w:t>
      </w:r>
      <w:r w:rsidRPr="00D9580C">
        <w:rPr>
          <w:vertAlign w:val="superscript"/>
          <w:lang w:val="fr-FR"/>
        </w:rPr>
        <w:t>os</w:t>
      </w:r>
      <w:r>
        <w:rPr>
          <w:vertAlign w:val="superscript"/>
          <w:lang w:val="fr-FR"/>
        </w:rPr>
        <w:t xml:space="preserve"> </w:t>
      </w:r>
      <w:r>
        <w:rPr>
          <w:lang w:val="fr-FR"/>
        </w:rPr>
        <w:t>50, 57, 200, 226, 227, 231 et 268.</w:t>
      </w:r>
    </w:p>
    <w:p w:rsidR="00313171" w:rsidRPr="0020642C" w:rsidRDefault="00313171">
      <w:pPr>
        <w:pStyle w:val="Testonotaapidipagina"/>
        <w:rPr>
          <w:lang w:val="fr-FR"/>
        </w:rPr>
      </w:pPr>
    </w:p>
  </w:footnote>
  <w:footnote w:id="9">
    <w:p w:rsidR="00313171" w:rsidRPr="0020642C" w:rsidRDefault="00313171" w:rsidP="00506071">
      <w:pPr>
        <w:pStyle w:val="Testonotaapidipagina"/>
        <w:rPr>
          <w:lang w:val="fr-FR"/>
        </w:rPr>
      </w:pPr>
    </w:p>
  </w:footnote>
  <w:footnote w:id="10">
    <w:p w:rsidR="00313171" w:rsidRPr="00CE6552" w:rsidRDefault="00313171" w:rsidP="00506071">
      <w:pPr>
        <w:pStyle w:val="Testonotaapidipagina"/>
        <w:rPr>
          <w:lang w:val="fr-FR"/>
        </w:rPr>
      </w:pPr>
      <w:r w:rsidRPr="00CE6552">
        <w:footnoteRef/>
      </w:r>
      <w:r w:rsidRPr="00CE6552">
        <w:rPr>
          <w:lang w:val="fr-FR"/>
        </w:rPr>
        <w:t>.  Il s’agit des requérants indiqués dans la liste B en annexe aux n</w:t>
      </w:r>
      <w:r w:rsidRPr="00D02E4A">
        <w:rPr>
          <w:vertAlign w:val="superscript"/>
          <w:lang w:val="fr-FR"/>
        </w:rPr>
        <w:t>os</w:t>
      </w:r>
      <w:r w:rsidRPr="00CE6552">
        <w:rPr>
          <w:lang w:val="fr-FR"/>
        </w:rPr>
        <w:t xml:space="preserve"> 27, 63, 103, 108, 109, 137, 202, 224, 272 de la requête n° 8154/12.</w:t>
      </w:r>
    </w:p>
  </w:footnote>
  <w:footnote w:id="11">
    <w:p w:rsidR="00313171" w:rsidRPr="00A55C9F" w:rsidRDefault="00313171">
      <w:pPr>
        <w:pStyle w:val="Testonotaapidipagina"/>
        <w:rPr>
          <w:lang w:val="fr-FR"/>
        </w:rPr>
      </w:pPr>
      <w:r>
        <w:rPr>
          <w:rStyle w:val="Rimandonotaapidipagina"/>
        </w:rPr>
        <w:footnoteRef/>
      </w:r>
      <w:r w:rsidRPr="00A55C9F">
        <w:rPr>
          <w:lang w:val="fr-FR"/>
        </w:rPr>
        <w:t xml:space="preserve"> </w:t>
      </w:r>
      <w:r w:rsidRPr="00CE6552">
        <w:rPr>
          <w:lang w:val="fr-FR"/>
        </w:rPr>
        <w:t>Il s’agit des requérants indiqués dans la liste B en annexe aux n</w:t>
      </w:r>
      <w:r w:rsidRPr="00A55C9F">
        <w:rPr>
          <w:vertAlign w:val="superscript"/>
          <w:lang w:val="fr-FR"/>
        </w:rPr>
        <w:t xml:space="preserve">os </w:t>
      </w:r>
      <w:r w:rsidRPr="00CE6552">
        <w:rPr>
          <w:lang w:val="fr-FR"/>
        </w:rPr>
        <w:t>14, 15, 19, 34, 46, 49, 50, 51, 64 et 65 de la requête n</w:t>
      </w:r>
      <w:r w:rsidRPr="00EC7D0C">
        <w:rPr>
          <w:vertAlign w:val="superscript"/>
          <w:lang w:val="fr-FR"/>
        </w:rPr>
        <w:t>o</w:t>
      </w:r>
      <w:r>
        <w:rPr>
          <w:vertAlign w:val="superscript"/>
          <w:lang w:val="fr-FR"/>
        </w:rPr>
        <w:t> </w:t>
      </w:r>
      <w:r w:rsidRPr="00CE6552">
        <w:rPr>
          <w:lang w:val="fr-FR"/>
        </w:rPr>
        <w:t>16178/13</w:t>
      </w:r>
      <w:r>
        <w:rPr>
          <w:lang w:val="fr-FR"/>
        </w:rPr>
        <w:t>.</w:t>
      </w:r>
    </w:p>
  </w:footnote>
  <w:footnote w:id="12">
    <w:p w:rsidR="00313171" w:rsidRPr="00CE6552" w:rsidRDefault="00313171" w:rsidP="00506071">
      <w:pPr>
        <w:pStyle w:val="Testonotaapidipagina"/>
        <w:rPr>
          <w:lang w:val="fr-FR"/>
        </w:rPr>
      </w:pPr>
      <w:r w:rsidRPr="00CE6552">
        <w:footnoteRef/>
      </w:r>
      <w:r w:rsidRPr="00CE6552">
        <w:rPr>
          <w:lang w:val="fr-FR"/>
        </w:rPr>
        <w:t>.  Il s’agit des requérants de la requête 8154/12 indiqués dans la liste B en annexe aux n</w:t>
      </w:r>
      <w:r w:rsidRPr="00A55C9F">
        <w:rPr>
          <w:vertAlign w:val="superscript"/>
          <w:lang w:val="fr-FR"/>
        </w:rPr>
        <w:t>os</w:t>
      </w:r>
      <w:r>
        <w:rPr>
          <w:lang w:val="fr-FR"/>
        </w:rPr>
        <w:t> </w:t>
      </w:r>
      <w:r w:rsidRPr="00CE6552">
        <w:rPr>
          <w:lang w:val="fr-FR"/>
        </w:rPr>
        <w:t>9, 34, 35, 36, 59, 73, 86, 91, 92, 93, 94, 114, 115, 116, 117, 118, 215, 248, 254, 255 et 260.</w:t>
      </w:r>
    </w:p>
  </w:footnote>
  <w:footnote w:id="13">
    <w:p w:rsidR="00313171" w:rsidRPr="00CE6552" w:rsidRDefault="00313171" w:rsidP="00506071">
      <w:pPr>
        <w:pStyle w:val="Testonotaapidipagina"/>
        <w:rPr>
          <w:lang w:val="fr-FR"/>
        </w:rPr>
      </w:pPr>
      <w:r w:rsidRPr="00CE6552">
        <w:footnoteRef/>
      </w:r>
      <w:r>
        <w:rPr>
          <w:lang w:val="fr-FR"/>
        </w:rPr>
        <w:t>.  </w:t>
      </w:r>
      <w:r w:rsidRPr="00CE6552">
        <w:rPr>
          <w:lang w:val="fr-FR"/>
        </w:rPr>
        <w:t>Il s’agit des requérants faisant parte de la requête n° 8154/12 indiqués dans la liste B en annexe aux n</w:t>
      </w:r>
      <w:r w:rsidRPr="00A55C9F">
        <w:rPr>
          <w:vertAlign w:val="superscript"/>
          <w:lang w:val="fr-FR"/>
        </w:rPr>
        <w:t>os</w:t>
      </w:r>
      <w:r w:rsidRPr="00CE6552">
        <w:rPr>
          <w:lang w:val="fr-FR"/>
        </w:rPr>
        <w:t xml:space="preserve"> 27, 64, 103, 108, 109, 137, 159, 202, 220, 221, 222, 223, 224, 259, 272 et 302.</w:t>
      </w:r>
    </w:p>
  </w:footnote>
  <w:footnote w:id="14">
    <w:p w:rsidR="00313171" w:rsidRPr="00CE6552" w:rsidRDefault="00313171" w:rsidP="00506071">
      <w:pPr>
        <w:pStyle w:val="Testonotaapidipagina"/>
        <w:rPr>
          <w:lang w:val="fr-FR"/>
        </w:rPr>
      </w:pPr>
      <w:r w:rsidRPr="00CE6552">
        <w:footnoteRef/>
      </w:r>
      <w:r>
        <w:rPr>
          <w:lang w:val="fr-FR"/>
        </w:rPr>
        <w:t>.  </w:t>
      </w:r>
      <w:r w:rsidRPr="00CE6552">
        <w:rPr>
          <w:lang w:val="fr-FR"/>
        </w:rPr>
        <w:t>Il s’agit des requérants faisant parte de la requête n° 8154/12 indiqués dans la liste B en annexe aux n</w:t>
      </w:r>
      <w:r w:rsidRPr="00A55C9F">
        <w:rPr>
          <w:vertAlign w:val="superscript"/>
          <w:lang w:val="fr-FR"/>
        </w:rPr>
        <w:t>os</w:t>
      </w:r>
      <w:r w:rsidRPr="00CE6552">
        <w:rPr>
          <w:lang w:val="fr-FR"/>
        </w:rPr>
        <w:t xml:space="preserve"> 27, 103, 108, 109, 137, 224 et 272.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71" w:rsidRPr="00A45145" w:rsidRDefault="00313171" w:rsidP="00D53B1C">
    <w:pPr>
      <w:jc w:val="center"/>
    </w:pPr>
    <w:r>
      <w:rPr>
        <w:noProof/>
        <w:lang w:val="it-IT" w:eastAsia="it-IT"/>
      </w:rPr>
      <w:drawing>
        <wp:inline distT="0" distB="0" distL="0" distR="0" wp14:anchorId="0499B7A3" wp14:editId="18269E5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13171" w:rsidRDefault="00313171" w:rsidP="00D53B1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71" w:rsidRPr="0045067D" w:rsidRDefault="00313171" w:rsidP="00F1318A">
    <w:pPr>
      <w:pStyle w:val="ECHRHeader"/>
      <w:tabs>
        <w:tab w:val="clear" w:pos="3686"/>
        <w:tab w:val="left" w:pos="2977"/>
        <w:tab w:val="left" w:pos="7371"/>
      </w:tabs>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DA5262">
      <w:rPr>
        <w:rStyle w:val="Numeropagina"/>
        <w:noProof/>
        <w:lang w:val="fr-FR"/>
      </w:rPr>
      <w:t>20</w:t>
    </w:r>
    <w:r>
      <w:rPr>
        <w:rStyle w:val="Numeropagina"/>
        <w:lang w:val="fr-FR"/>
      </w:rPr>
      <w:fldChar w:fldCharType="end"/>
    </w:r>
    <w:r w:rsidRPr="0045067D">
      <w:rPr>
        <w:rStyle w:val="Numeropagina"/>
        <w:lang w:val="fr-FR"/>
      </w:rPr>
      <w:tab/>
    </w:r>
    <w:r>
      <w:rPr>
        <w:lang w:val="fr-FR"/>
      </w:rPr>
      <w:t>D.A. ET AUTRES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71" w:rsidRPr="009B7F76" w:rsidRDefault="00313171" w:rsidP="00A807E7">
    <w:pPr>
      <w:pStyle w:val="ECHRHeader"/>
      <w:tabs>
        <w:tab w:val="center" w:pos="7371"/>
      </w:tabs>
      <w:rPr>
        <w:rFonts w:ascii="Times New Roman" w:hAnsi="Times New Roman" w:cs="Times New Roman"/>
        <w:szCs w:val="18"/>
        <w:lang w:val="fr-FR"/>
      </w:rPr>
    </w:pPr>
    <w:r>
      <w:rPr>
        <w:rFonts w:ascii="Times New Roman" w:hAnsi="Times New Roman" w:cs="Times New Roman"/>
        <w:szCs w:val="18"/>
        <w:lang w:val="fr-FR"/>
      </w:rPr>
      <w:tab/>
    </w:r>
    <w:r w:rsidRPr="009B7F76">
      <w:rPr>
        <w:rFonts w:ascii="Times New Roman" w:hAnsi="Times New Roman" w:cs="Times New Roman"/>
        <w:szCs w:val="18"/>
        <w:lang w:val="fr-FR"/>
      </w:rPr>
      <w:t>D.A. ET AUTRES c. ITALIE</w:t>
    </w:r>
    <w:r w:rsidRPr="009B7F76">
      <w:rPr>
        <w:rFonts w:ascii="Times New Roman" w:hAnsi="Times New Roman" w:cs="Times New Roman"/>
        <w:szCs w:val="18"/>
        <w:lang w:val="fr-FR"/>
      </w:rPr>
      <w:tab/>
    </w:r>
    <w:r w:rsidRPr="009B7F76">
      <w:rPr>
        <w:rStyle w:val="Numeropagina"/>
        <w:szCs w:val="18"/>
        <w:lang w:val="fr-FR"/>
      </w:rPr>
      <w:fldChar w:fldCharType="begin"/>
    </w:r>
    <w:r w:rsidRPr="009B7F76">
      <w:rPr>
        <w:rStyle w:val="Numeropagina"/>
        <w:szCs w:val="18"/>
        <w:lang w:val="fr-FR"/>
      </w:rPr>
      <w:instrText xml:space="preserve"> PAGE </w:instrText>
    </w:r>
    <w:r w:rsidRPr="009B7F76">
      <w:rPr>
        <w:rStyle w:val="Numeropagina"/>
        <w:szCs w:val="18"/>
        <w:lang w:val="fr-FR"/>
      </w:rPr>
      <w:fldChar w:fldCharType="separate"/>
    </w:r>
    <w:r w:rsidR="00DA5262">
      <w:rPr>
        <w:rStyle w:val="Numeropagina"/>
        <w:noProof/>
        <w:szCs w:val="18"/>
        <w:lang w:val="fr-FR"/>
      </w:rPr>
      <w:t>1</w:t>
    </w:r>
    <w:r w:rsidRPr="009B7F76">
      <w:rPr>
        <w:rStyle w:val="Numeropagina"/>
        <w:szCs w:val="18"/>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71" w:rsidRPr="0045067D" w:rsidRDefault="00313171" w:rsidP="00C22526">
    <w:pPr>
      <w:pStyle w:val="ECHRHeader"/>
      <w:tabs>
        <w:tab w:val="clear" w:pos="3686"/>
        <w:tab w:val="clear" w:pos="7371"/>
        <w:tab w:val="center" w:pos="5954"/>
      </w:tabs>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DA5262">
      <w:rPr>
        <w:rStyle w:val="Numeropagina"/>
        <w:noProof/>
        <w:lang w:val="fr-FR"/>
      </w:rPr>
      <w:t>96</w:t>
    </w:r>
    <w:r>
      <w:rPr>
        <w:rStyle w:val="Numeropagina"/>
        <w:lang w:val="fr-FR"/>
      </w:rPr>
      <w:fldChar w:fldCharType="end"/>
    </w:r>
    <w:r w:rsidRPr="0045067D">
      <w:rPr>
        <w:rStyle w:val="Numeropagina"/>
        <w:lang w:val="fr-FR"/>
      </w:rPr>
      <w:tab/>
    </w:r>
    <w:r>
      <w:rPr>
        <w:lang w:val="fr-FR"/>
      </w:rPr>
      <w:t>D.A. ET AUTRES c. ITALIE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71" w:rsidRPr="009B7F76" w:rsidRDefault="00313171" w:rsidP="0023602F">
    <w:pPr>
      <w:pStyle w:val="ECHRHeader"/>
      <w:tabs>
        <w:tab w:val="clear" w:pos="3686"/>
        <w:tab w:val="clear" w:pos="7371"/>
        <w:tab w:val="center" w:pos="5670"/>
        <w:tab w:val="right" w:pos="11199"/>
      </w:tabs>
      <w:jc w:val="center"/>
      <w:rPr>
        <w:rFonts w:ascii="Times New Roman" w:hAnsi="Times New Roman" w:cs="Times New Roman"/>
        <w:szCs w:val="18"/>
        <w:lang w:val="fr-FR"/>
      </w:rPr>
    </w:pPr>
    <w:r>
      <w:rPr>
        <w:rFonts w:ascii="Times New Roman" w:hAnsi="Times New Roman" w:cs="Times New Roman"/>
        <w:szCs w:val="18"/>
        <w:lang w:val="fr-FR"/>
      </w:rPr>
      <w:tab/>
      <w:t>D.A. ET AUTRES c. Italie</w:t>
    </w:r>
    <w:r>
      <w:rPr>
        <w:rFonts w:ascii="Times New Roman" w:hAnsi="Times New Roman" w:cs="Times New Roman"/>
        <w:szCs w:val="18"/>
        <w:lang w:val="fr-FR"/>
      </w:rPr>
      <w:tab/>
    </w:r>
    <w:r w:rsidRPr="009B7F76">
      <w:rPr>
        <w:rStyle w:val="Numeropagina"/>
        <w:szCs w:val="18"/>
        <w:lang w:val="fr-FR"/>
      </w:rPr>
      <w:fldChar w:fldCharType="begin"/>
    </w:r>
    <w:r w:rsidRPr="009B7F76">
      <w:rPr>
        <w:rStyle w:val="Numeropagina"/>
        <w:szCs w:val="18"/>
        <w:lang w:val="fr-FR"/>
      </w:rPr>
      <w:instrText xml:space="preserve"> PAGE </w:instrText>
    </w:r>
    <w:r w:rsidRPr="009B7F76">
      <w:rPr>
        <w:rStyle w:val="Numeropagina"/>
        <w:szCs w:val="18"/>
        <w:lang w:val="fr-FR"/>
      </w:rPr>
      <w:fldChar w:fldCharType="separate"/>
    </w:r>
    <w:r w:rsidR="00DA5262">
      <w:rPr>
        <w:rStyle w:val="Numeropagina"/>
        <w:noProof/>
        <w:szCs w:val="18"/>
        <w:lang w:val="fr-FR"/>
      </w:rPr>
      <w:t>95</w:t>
    </w:r>
    <w:r w:rsidRPr="009B7F76">
      <w:rPr>
        <w:rStyle w:val="Numeropagina"/>
        <w:szCs w:val="18"/>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D85"/>
    <w:multiLevelType w:val="hybridMultilevel"/>
    <w:tmpl w:val="F774E864"/>
    <w:lvl w:ilvl="0" w:tplc="1010792E">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632C2"/>
    <w:multiLevelType w:val="hybridMultilevel"/>
    <w:tmpl w:val="A22032D8"/>
    <w:lvl w:ilvl="0" w:tplc="23B8D43C">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A0310F"/>
    <w:multiLevelType w:val="hybridMultilevel"/>
    <w:tmpl w:val="F774E864"/>
    <w:lvl w:ilvl="0" w:tplc="1010792E">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B6866"/>
    <w:multiLevelType w:val="hybridMultilevel"/>
    <w:tmpl w:val="20AA95BA"/>
    <w:lvl w:ilvl="0" w:tplc="814A82CC">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77E94"/>
    <w:multiLevelType w:val="hybridMultilevel"/>
    <w:tmpl w:val="B482651E"/>
    <w:lvl w:ilvl="0" w:tplc="D04CA1D0">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72F2C"/>
    <w:multiLevelType w:val="hybridMultilevel"/>
    <w:tmpl w:val="83F24F6E"/>
    <w:lvl w:ilvl="0" w:tplc="E9A88162">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AB5F3A"/>
    <w:multiLevelType w:val="hybridMultilevel"/>
    <w:tmpl w:val="F774E864"/>
    <w:lvl w:ilvl="0" w:tplc="1010792E">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D47DE"/>
    <w:multiLevelType w:val="multilevel"/>
    <w:tmpl w:val="F7F2C62E"/>
    <w:lvl w:ilvl="0">
      <w:start w:val="1"/>
      <w:numFmt w:val="decimal"/>
      <w:pStyle w:val="ECHRList"/>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A57B34"/>
    <w:multiLevelType w:val="hybridMultilevel"/>
    <w:tmpl w:val="EC529F36"/>
    <w:lvl w:ilvl="0" w:tplc="C6B6C56C">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2">
    <w:nsid w:val="4AC243D3"/>
    <w:multiLevelType w:val="hybridMultilevel"/>
    <w:tmpl w:val="5F7A6018"/>
    <w:lvl w:ilvl="0" w:tplc="0B52A77A">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52384"/>
    <w:multiLevelType w:val="hybridMultilevel"/>
    <w:tmpl w:val="68B0BCD4"/>
    <w:lvl w:ilvl="0" w:tplc="2DD6B196">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nsid w:val="53F82602"/>
    <w:multiLevelType w:val="hybridMultilevel"/>
    <w:tmpl w:val="3030F25E"/>
    <w:lvl w:ilvl="0" w:tplc="752211D6">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A685B"/>
    <w:multiLevelType w:val="hybridMultilevel"/>
    <w:tmpl w:val="E05E194C"/>
    <w:lvl w:ilvl="0" w:tplc="272AB926">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95064"/>
    <w:multiLevelType w:val="hybridMultilevel"/>
    <w:tmpl w:val="42E4B4F0"/>
    <w:lvl w:ilvl="0" w:tplc="3E7C8FF0">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7306C"/>
    <w:multiLevelType w:val="multilevel"/>
    <w:tmpl w:val="040C0023"/>
    <w:styleLink w:val="ArticoloSezione"/>
    <w:lvl w:ilvl="0">
      <w:start w:val="1"/>
      <w:numFmt w:val="upperRoman"/>
      <w:pStyle w:val="Puntoelenco"/>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94F3F59"/>
    <w:multiLevelType w:val="hybridMultilevel"/>
    <w:tmpl w:val="32B83DE4"/>
    <w:lvl w:ilvl="0" w:tplc="86F60ECE">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D2DA9"/>
    <w:multiLevelType w:val="hybridMultilevel"/>
    <w:tmpl w:val="7DC8E8F0"/>
    <w:lvl w:ilvl="0" w:tplc="009EE65E">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7193C"/>
    <w:multiLevelType w:val="hybridMultilevel"/>
    <w:tmpl w:val="3C2AAB60"/>
    <w:lvl w:ilvl="0" w:tplc="F95605FC">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BFB0D15"/>
    <w:multiLevelType w:val="hybridMultilevel"/>
    <w:tmpl w:val="D6540F94"/>
    <w:lvl w:ilvl="0" w:tplc="9E0E11EC">
      <w:start w:val="1"/>
      <w:numFmt w:val="decimal"/>
      <w:lvlRestart w:val="0"/>
      <w:lvlText w:val="%1."/>
      <w:lvlJc w:val="left"/>
      <w:pPr>
        <w:tabs>
          <w:tab w:val="num" w:pos="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1"/>
  </w:num>
  <w:num w:numId="5">
    <w:abstractNumId w:val="14"/>
  </w:num>
  <w:num w:numId="6">
    <w:abstractNumId w:val="7"/>
  </w:num>
  <w:num w:numId="7">
    <w:abstractNumId w:val="2"/>
  </w:num>
  <w:num w:numId="8">
    <w:abstractNumId w:val="18"/>
  </w:num>
  <w:num w:numId="9">
    <w:abstractNumId w:val="22"/>
  </w:num>
  <w:num w:numId="10">
    <w:abstractNumId w:val="8"/>
  </w:num>
  <w:num w:numId="11">
    <w:abstractNumId w:val="3"/>
  </w:num>
  <w:num w:numId="12">
    <w:abstractNumId w:val="0"/>
  </w:num>
  <w:num w:numId="13">
    <w:abstractNumId w:val="12"/>
  </w:num>
  <w:num w:numId="14">
    <w:abstractNumId w:val="17"/>
  </w:num>
  <w:num w:numId="15">
    <w:abstractNumId w:val="21"/>
  </w:num>
  <w:num w:numId="16">
    <w:abstractNumId w:val="6"/>
  </w:num>
  <w:num w:numId="17">
    <w:abstractNumId w:val="16"/>
  </w:num>
  <w:num w:numId="18">
    <w:abstractNumId w:val="10"/>
  </w:num>
  <w:num w:numId="19">
    <w:abstractNumId w:val="13"/>
  </w:num>
  <w:num w:numId="20">
    <w:abstractNumId w:val="23"/>
  </w:num>
  <w:num w:numId="21">
    <w:abstractNumId w:val="19"/>
  </w:num>
  <w:num w:numId="22">
    <w:abstractNumId w:val="4"/>
  </w:num>
  <w:num w:numId="23">
    <w:abstractNumId w:val="20"/>
  </w:num>
  <w:num w:numId="24">
    <w:abstractNumId w:val="15"/>
  </w:num>
  <w:num w:numId="25">
    <w:abstractNumId w:val="1"/>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1"/>
    <w:rsid w:val="00003AA9"/>
    <w:rsid w:val="00003FAD"/>
    <w:rsid w:val="000041F8"/>
    <w:rsid w:val="000042A8"/>
    <w:rsid w:val="00004308"/>
    <w:rsid w:val="00005BF0"/>
    <w:rsid w:val="00005E25"/>
    <w:rsid w:val="00006152"/>
    <w:rsid w:val="000061C5"/>
    <w:rsid w:val="000069A9"/>
    <w:rsid w:val="00007154"/>
    <w:rsid w:val="000103AE"/>
    <w:rsid w:val="00011D69"/>
    <w:rsid w:val="00012AD3"/>
    <w:rsid w:val="00013658"/>
    <w:rsid w:val="00013D44"/>
    <w:rsid w:val="00015C2D"/>
    <w:rsid w:val="00015F00"/>
    <w:rsid w:val="00022C1D"/>
    <w:rsid w:val="00023C17"/>
    <w:rsid w:val="00030C98"/>
    <w:rsid w:val="00034987"/>
    <w:rsid w:val="000350ED"/>
    <w:rsid w:val="000356EC"/>
    <w:rsid w:val="00035C10"/>
    <w:rsid w:val="00036AB1"/>
    <w:rsid w:val="00047004"/>
    <w:rsid w:val="000524B7"/>
    <w:rsid w:val="0005314E"/>
    <w:rsid w:val="000531FF"/>
    <w:rsid w:val="00056AA4"/>
    <w:rsid w:val="000602DF"/>
    <w:rsid w:val="00061B05"/>
    <w:rsid w:val="000632D5"/>
    <w:rsid w:val="000637D3"/>
    <w:rsid w:val="000644EE"/>
    <w:rsid w:val="000668FF"/>
    <w:rsid w:val="0006764A"/>
    <w:rsid w:val="000718D0"/>
    <w:rsid w:val="00071D99"/>
    <w:rsid w:val="00075A6D"/>
    <w:rsid w:val="0007635D"/>
    <w:rsid w:val="000925AD"/>
    <w:rsid w:val="000933A7"/>
    <w:rsid w:val="00095BD8"/>
    <w:rsid w:val="00095BDC"/>
    <w:rsid w:val="000960B1"/>
    <w:rsid w:val="000A24EB"/>
    <w:rsid w:val="000A60AA"/>
    <w:rsid w:val="000B6923"/>
    <w:rsid w:val="000B739E"/>
    <w:rsid w:val="000C01CA"/>
    <w:rsid w:val="000C534D"/>
    <w:rsid w:val="000C5F3C"/>
    <w:rsid w:val="000C6DCC"/>
    <w:rsid w:val="000D47AA"/>
    <w:rsid w:val="000D5398"/>
    <w:rsid w:val="000D721F"/>
    <w:rsid w:val="000D7AA1"/>
    <w:rsid w:val="000D7C07"/>
    <w:rsid w:val="000E069B"/>
    <w:rsid w:val="000E0E82"/>
    <w:rsid w:val="000E1DC5"/>
    <w:rsid w:val="000E223F"/>
    <w:rsid w:val="000E3E96"/>
    <w:rsid w:val="000E5D14"/>
    <w:rsid w:val="000E7D45"/>
    <w:rsid w:val="000F5CFD"/>
    <w:rsid w:val="000F7851"/>
    <w:rsid w:val="00104B5B"/>
    <w:rsid w:val="00104E23"/>
    <w:rsid w:val="00111B0C"/>
    <w:rsid w:val="0011292C"/>
    <w:rsid w:val="001136F7"/>
    <w:rsid w:val="0011435C"/>
    <w:rsid w:val="0011522C"/>
    <w:rsid w:val="0011698E"/>
    <w:rsid w:val="00120D6C"/>
    <w:rsid w:val="0012424D"/>
    <w:rsid w:val="001257EC"/>
    <w:rsid w:val="001338BB"/>
    <w:rsid w:val="00133D33"/>
    <w:rsid w:val="00134535"/>
    <w:rsid w:val="00134D64"/>
    <w:rsid w:val="00135926"/>
    <w:rsid w:val="00135A30"/>
    <w:rsid w:val="00135AC1"/>
    <w:rsid w:val="0013612C"/>
    <w:rsid w:val="00137FF6"/>
    <w:rsid w:val="00141650"/>
    <w:rsid w:val="0014337D"/>
    <w:rsid w:val="001503DB"/>
    <w:rsid w:val="0015423B"/>
    <w:rsid w:val="00155716"/>
    <w:rsid w:val="00162A12"/>
    <w:rsid w:val="00166530"/>
    <w:rsid w:val="00177867"/>
    <w:rsid w:val="00177A9F"/>
    <w:rsid w:val="0018068E"/>
    <w:rsid w:val="0018173C"/>
    <w:rsid w:val="001832BD"/>
    <w:rsid w:val="0018732E"/>
    <w:rsid w:val="00192389"/>
    <w:rsid w:val="00192D87"/>
    <w:rsid w:val="001943B5"/>
    <w:rsid w:val="00195134"/>
    <w:rsid w:val="001A145B"/>
    <w:rsid w:val="001A3981"/>
    <w:rsid w:val="001A54D9"/>
    <w:rsid w:val="001A674C"/>
    <w:rsid w:val="001A7759"/>
    <w:rsid w:val="001B0AC8"/>
    <w:rsid w:val="001B3B24"/>
    <w:rsid w:val="001C0F98"/>
    <w:rsid w:val="001C2A42"/>
    <w:rsid w:val="001C2F8D"/>
    <w:rsid w:val="001C418D"/>
    <w:rsid w:val="001C5B5B"/>
    <w:rsid w:val="001C5B98"/>
    <w:rsid w:val="001C6840"/>
    <w:rsid w:val="001C747A"/>
    <w:rsid w:val="001D306B"/>
    <w:rsid w:val="001D329E"/>
    <w:rsid w:val="001D4005"/>
    <w:rsid w:val="001D5CC2"/>
    <w:rsid w:val="001D63ED"/>
    <w:rsid w:val="001D7348"/>
    <w:rsid w:val="001D7B0A"/>
    <w:rsid w:val="001E035B"/>
    <w:rsid w:val="001E07B7"/>
    <w:rsid w:val="001E0961"/>
    <w:rsid w:val="001E2A9A"/>
    <w:rsid w:val="001E3E79"/>
    <w:rsid w:val="001E3EAE"/>
    <w:rsid w:val="001E6F32"/>
    <w:rsid w:val="001F2145"/>
    <w:rsid w:val="001F6262"/>
    <w:rsid w:val="001F67B0"/>
    <w:rsid w:val="001F6F8D"/>
    <w:rsid w:val="001F75B1"/>
    <w:rsid w:val="001F7B3D"/>
    <w:rsid w:val="002037DA"/>
    <w:rsid w:val="00205F9F"/>
    <w:rsid w:val="00206427"/>
    <w:rsid w:val="0020642C"/>
    <w:rsid w:val="00210338"/>
    <w:rsid w:val="002115FC"/>
    <w:rsid w:val="002138A0"/>
    <w:rsid w:val="00213F5D"/>
    <w:rsid w:val="0021423C"/>
    <w:rsid w:val="00220A74"/>
    <w:rsid w:val="00230D00"/>
    <w:rsid w:val="00231DF7"/>
    <w:rsid w:val="00231FD1"/>
    <w:rsid w:val="002339E0"/>
    <w:rsid w:val="00233CF8"/>
    <w:rsid w:val="0023575D"/>
    <w:rsid w:val="0023602F"/>
    <w:rsid w:val="00237148"/>
    <w:rsid w:val="00241014"/>
    <w:rsid w:val="0024222D"/>
    <w:rsid w:val="00244AF7"/>
    <w:rsid w:val="00244B0E"/>
    <w:rsid w:val="00244F6C"/>
    <w:rsid w:val="00246E3A"/>
    <w:rsid w:val="002532C5"/>
    <w:rsid w:val="00253F26"/>
    <w:rsid w:val="00256DA3"/>
    <w:rsid w:val="0025707C"/>
    <w:rsid w:val="00257F56"/>
    <w:rsid w:val="00260C03"/>
    <w:rsid w:val="00260DAE"/>
    <w:rsid w:val="00261C02"/>
    <w:rsid w:val="0026218D"/>
    <w:rsid w:val="002638F9"/>
    <w:rsid w:val="00264309"/>
    <w:rsid w:val="0026540E"/>
    <w:rsid w:val="0026599B"/>
    <w:rsid w:val="002671D5"/>
    <w:rsid w:val="00273741"/>
    <w:rsid w:val="00275123"/>
    <w:rsid w:val="00282240"/>
    <w:rsid w:val="00290C09"/>
    <w:rsid w:val="00291D77"/>
    <w:rsid w:val="002920A0"/>
    <w:rsid w:val="00292DC9"/>
    <w:rsid w:val="00292EA5"/>
    <w:rsid w:val="0029380D"/>
    <w:rsid w:val="002948AD"/>
    <w:rsid w:val="0029634E"/>
    <w:rsid w:val="002A01CC"/>
    <w:rsid w:val="002A61B1"/>
    <w:rsid w:val="002A663C"/>
    <w:rsid w:val="002A74F9"/>
    <w:rsid w:val="002B2A4B"/>
    <w:rsid w:val="002B444B"/>
    <w:rsid w:val="002B5887"/>
    <w:rsid w:val="002B77AC"/>
    <w:rsid w:val="002C0692"/>
    <w:rsid w:val="002C0E27"/>
    <w:rsid w:val="002C1558"/>
    <w:rsid w:val="002C3040"/>
    <w:rsid w:val="002C6927"/>
    <w:rsid w:val="002D022D"/>
    <w:rsid w:val="002D21E9"/>
    <w:rsid w:val="002D24BB"/>
    <w:rsid w:val="002D24DB"/>
    <w:rsid w:val="002D3D3E"/>
    <w:rsid w:val="002D3DB7"/>
    <w:rsid w:val="002D4133"/>
    <w:rsid w:val="002D6DE5"/>
    <w:rsid w:val="002D73CA"/>
    <w:rsid w:val="002D7FAF"/>
    <w:rsid w:val="002D7FEA"/>
    <w:rsid w:val="002E0E2D"/>
    <w:rsid w:val="002F05FF"/>
    <w:rsid w:val="002F2A55"/>
    <w:rsid w:val="002F2AF7"/>
    <w:rsid w:val="002F4A9C"/>
    <w:rsid w:val="002F7E1C"/>
    <w:rsid w:val="00301A75"/>
    <w:rsid w:val="003022D9"/>
    <w:rsid w:val="00302F70"/>
    <w:rsid w:val="0030336F"/>
    <w:rsid w:val="0030375E"/>
    <w:rsid w:val="003059D2"/>
    <w:rsid w:val="00305BF1"/>
    <w:rsid w:val="00306C3B"/>
    <w:rsid w:val="00312A30"/>
    <w:rsid w:val="00313171"/>
    <w:rsid w:val="00320F72"/>
    <w:rsid w:val="0032463E"/>
    <w:rsid w:val="00325275"/>
    <w:rsid w:val="00326224"/>
    <w:rsid w:val="00333555"/>
    <w:rsid w:val="00337EE4"/>
    <w:rsid w:val="00340FFD"/>
    <w:rsid w:val="00341303"/>
    <w:rsid w:val="003429C0"/>
    <w:rsid w:val="00343DE1"/>
    <w:rsid w:val="0034650E"/>
    <w:rsid w:val="003506B1"/>
    <w:rsid w:val="00353BA7"/>
    <w:rsid w:val="00356ABC"/>
    <w:rsid w:val="00356AC7"/>
    <w:rsid w:val="00360813"/>
    <w:rsid w:val="003609FA"/>
    <w:rsid w:val="00364912"/>
    <w:rsid w:val="00366EC8"/>
    <w:rsid w:val="003710C8"/>
    <w:rsid w:val="0037310E"/>
    <w:rsid w:val="003750BE"/>
    <w:rsid w:val="0037565D"/>
    <w:rsid w:val="00383E63"/>
    <w:rsid w:val="00385ABF"/>
    <w:rsid w:val="00385F5E"/>
    <w:rsid w:val="003866C9"/>
    <w:rsid w:val="00387B9D"/>
    <w:rsid w:val="00387C70"/>
    <w:rsid w:val="0039364F"/>
    <w:rsid w:val="00396686"/>
    <w:rsid w:val="0039725D"/>
    <w:rsid w:val="0039778E"/>
    <w:rsid w:val="003A4991"/>
    <w:rsid w:val="003A6385"/>
    <w:rsid w:val="003B269F"/>
    <w:rsid w:val="003B4941"/>
    <w:rsid w:val="003B494A"/>
    <w:rsid w:val="003B4D0E"/>
    <w:rsid w:val="003B76B8"/>
    <w:rsid w:val="003C0AA6"/>
    <w:rsid w:val="003C5714"/>
    <w:rsid w:val="003C6B9F"/>
    <w:rsid w:val="003C6E2A"/>
    <w:rsid w:val="003D0299"/>
    <w:rsid w:val="003D49AD"/>
    <w:rsid w:val="003D5887"/>
    <w:rsid w:val="003D58D0"/>
    <w:rsid w:val="003E064A"/>
    <w:rsid w:val="003E6D80"/>
    <w:rsid w:val="003F05FA"/>
    <w:rsid w:val="003F1030"/>
    <w:rsid w:val="003F21AD"/>
    <w:rsid w:val="003F244A"/>
    <w:rsid w:val="003F30B8"/>
    <w:rsid w:val="003F4C45"/>
    <w:rsid w:val="003F5F7B"/>
    <w:rsid w:val="003F7D64"/>
    <w:rsid w:val="00404496"/>
    <w:rsid w:val="004141C8"/>
    <w:rsid w:val="00414300"/>
    <w:rsid w:val="00425C67"/>
    <w:rsid w:val="00427E7A"/>
    <w:rsid w:val="00431833"/>
    <w:rsid w:val="00436C49"/>
    <w:rsid w:val="00436FAD"/>
    <w:rsid w:val="00442675"/>
    <w:rsid w:val="00445366"/>
    <w:rsid w:val="00447F5B"/>
    <w:rsid w:val="0045043B"/>
    <w:rsid w:val="00450919"/>
    <w:rsid w:val="00451A91"/>
    <w:rsid w:val="004575D3"/>
    <w:rsid w:val="00461DB0"/>
    <w:rsid w:val="004624A6"/>
    <w:rsid w:val="00463926"/>
    <w:rsid w:val="0046423D"/>
    <w:rsid w:val="00464C9A"/>
    <w:rsid w:val="004659E9"/>
    <w:rsid w:val="0046639B"/>
    <w:rsid w:val="00474F3D"/>
    <w:rsid w:val="00477E3A"/>
    <w:rsid w:val="004801E3"/>
    <w:rsid w:val="00481ECD"/>
    <w:rsid w:val="00483E5F"/>
    <w:rsid w:val="0048510D"/>
    <w:rsid w:val="00485FF9"/>
    <w:rsid w:val="004906C8"/>
    <w:rsid w:val="004907F0"/>
    <w:rsid w:val="0049140B"/>
    <w:rsid w:val="004923A5"/>
    <w:rsid w:val="00493CCF"/>
    <w:rsid w:val="004948A4"/>
    <w:rsid w:val="0049669C"/>
    <w:rsid w:val="00496BFB"/>
    <w:rsid w:val="004A15C7"/>
    <w:rsid w:val="004A4347"/>
    <w:rsid w:val="004A572D"/>
    <w:rsid w:val="004A62C2"/>
    <w:rsid w:val="004B013B"/>
    <w:rsid w:val="004B112B"/>
    <w:rsid w:val="004B1A8D"/>
    <w:rsid w:val="004B2FC2"/>
    <w:rsid w:val="004B5BA4"/>
    <w:rsid w:val="004B5D0C"/>
    <w:rsid w:val="004B6BD2"/>
    <w:rsid w:val="004C01E4"/>
    <w:rsid w:val="004C086C"/>
    <w:rsid w:val="004C1F56"/>
    <w:rsid w:val="004C27BC"/>
    <w:rsid w:val="004D15F3"/>
    <w:rsid w:val="004D1A7C"/>
    <w:rsid w:val="004D5311"/>
    <w:rsid w:val="004D5DCC"/>
    <w:rsid w:val="004E203E"/>
    <w:rsid w:val="004E5AAF"/>
    <w:rsid w:val="004E5B72"/>
    <w:rsid w:val="004F10AF"/>
    <w:rsid w:val="004F11A4"/>
    <w:rsid w:val="004F2389"/>
    <w:rsid w:val="004F304D"/>
    <w:rsid w:val="004F47B7"/>
    <w:rsid w:val="004F61BE"/>
    <w:rsid w:val="004F66B1"/>
    <w:rsid w:val="00506071"/>
    <w:rsid w:val="00506DBB"/>
    <w:rsid w:val="00511C07"/>
    <w:rsid w:val="00516CDE"/>
    <w:rsid w:val="00516EAB"/>
    <w:rsid w:val="005173A6"/>
    <w:rsid w:val="00520BAA"/>
    <w:rsid w:val="00525208"/>
    <w:rsid w:val="005253DE"/>
    <w:rsid w:val="005257A5"/>
    <w:rsid w:val="005264C0"/>
    <w:rsid w:val="00526A8A"/>
    <w:rsid w:val="005300F3"/>
    <w:rsid w:val="00531138"/>
    <w:rsid w:val="00531DF2"/>
    <w:rsid w:val="00534BF7"/>
    <w:rsid w:val="00541D6A"/>
    <w:rsid w:val="005442EE"/>
    <w:rsid w:val="00545BFB"/>
    <w:rsid w:val="00547353"/>
    <w:rsid w:val="005474E7"/>
    <w:rsid w:val="005512A3"/>
    <w:rsid w:val="00552E5F"/>
    <w:rsid w:val="005545CE"/>
    <w:rsid w:val="005546AE"/>
    <w:rsid w:val="005552D8"/>
    <w:rsid w:val="0055677F"/>
    <w:rsid w:val="005574EE"/>
    <w:rsid w:val="005578CE"/>
    <w:rsid w:val="00557CE2"/>
    <w:rsid w:val="00562781"/>
    <w:rsid w:val="005658C9"/>
    <w:rsid w:val="005667DA"/>
    <w:rsid w:val="005673DE"/>
    <w:rsid w:val="0057271C"/>
    <w:rsid w:val="00572845"/>
    <w:rsid w:val="00572861"/>
    <w:rsid w:val="005756FE"/>
    <w:rsid w:val="00584FAA"/>
    <w:rsid w:val="00592772"/>
    <w:rsid w:val="00594175"/>
    <w:rsid w:val="00594E16"/>
    <w:rsid w:val="0059574A"/>
    <w:rsid w:val="005A0647"/>
    <w:rsid w:val="005A18A3"/>
    <w:rsid w:val="005A1941"/>
    <w:rsid w:val="005A1B9B"/>
    <w:rsid w:val="005A225A"/>
    <w:rsid w:val="005A6751"/>
    <w:rsid w:val="005A69B5"/>
    <w:rsid w:val="005B0187"/>
    <w:rsid w:val="005B092E"/>
    <w:rsid w:val="005B152C"/>
    <w:rsid w:val="005B1C92"/>
    <w:rsid w:val="005B1EE0"/>
    <w:rsid w:val="005B2B24"/>
    <w:rsid w:val="005B3CA0"/>
    <w:rsid w:val="005B4425"/>
    <w:rsid w:val="005B4B94"/>
    <w:rsid w:val="005C3EE8"/>
    <w:rsid w:val="005C5301"/>
    <w:rsid w:val="005C6451"/>
    <w:rsid w:val="005C64B6"/>
    <w:rsid w:val="005C79EB"/>
    <w:rsid w:val="005D01E3"/>
    <w:rsid w:val="005D05F7"/>
    <w:rsid w:val="005D17C7"/>
    <w:rsid w:val="005D34F9"/>
    <w:rsid w:val="005D4190"/>
    <w:rsid w:val="005D67A3"/>
    <w:rsid w:val="005E2988"/>
    <w:rsid w:val="005E3085"/>
    <w:rsid w:val="005F3DDE"/>
    <w:rsid w:val="005F51E1"/>
    <w:rsid w:val="005F66A7"/>
    <w:rsid w:val="00601974"/>
    <w:rsid w:val="00602BD9"/>
    <w:rsid w:val="00603A9B"/>
    <w:rsid w:val="0060774B"/>
    <w:rsid w:val="00611C80"/>
    <w:rsid w:val="00620692"/>
    <w:rsid w:val="006208D7"/>
    <w:rsid w:val="006242CA"/>
    <w:rsid w:val="00625CDB"/>
    <w:rsid w:val="00627507"/>
    <w:rsid w:val="0063212A"/>
    <w:rsid w:val="00633717"/>
    <w:rsid w:val="006344E1"/>
    <w:rsid w:val="0064016B"/>
    <w:rsid w:val="00640EFD"/>
    <w:rsid w:val="00642396"/>
    <w:rsid w:val="006430C8"/>
    <w:rsid w:val="006514BA"/>
    <w:rsid w:val="00651BF6"/>
    <w:rsid w:val="006545C4"/>
    <w:rsid w:val="006547C1"/>
    <w:rsid w:val="0065546D"/>
    <w:rsid w:val="006556E2"/>
    <w:rsid w:val="006565C8"/>
    <w:rsid w:val="00657346"/>
    <w:rsid w:val="00661971"/>
    <w:rsid w:val="00661CE8"/>
    <w:rsid w:val="006623D9"/>
    <w:rsid w:val="006638EE"/>
    <w:rsid w:val="0066550C"/>
    <w:rsid w:val="00666E7F"/>
    <w:rsid w:val="00670CEB"/>
    <w:rsid w:val="006716F2"/>
    <w:rsid w:val="00682BF2"/>
    <w:rsid w:val="00683431"/>
    <w:rsid w:val="006859CE"/>
    <w:rsid w:val="0068648F"/>
    <w:rsid w:val="00687380"/>
    <w:rsid w:val="00691270"/>
    <w:rsid w:val="00693E5A"/>
    <w:rsid w:val="00694BA8"/>
    <w:rsid w:val="00696D57"/>
    <w:rsid w:val="006A0014"/>
    <w:rsid w:val="006A037C"/>
    <w:rsid w:val="006A36F4"/>
    <w:rsid w:val="006A406F"/>
    <w:rsid w:val="006A5C6B"/>
    <w:rsid w:val="006A5D3A"/>
    <w:rsid w:val="006A6BEC"/>
    <w:rsid w:val="006B113C"/>
    <w:rsid w:val="006B4C8A"/>
    <w:rsid w:val="006B72D4"/>
    <w:rsid w:val="006C23D4"/>
    <w:rsid w:val="006C30CE"/>
    <w:rsid w:val="006C7BB0"/>
    <w:rsid w:val="006D3237"/>
    <w:rsid w:val="006D717E"/>
    <w:rsid w:val="006E0E13"/>
    <w:rsid w:val="006E2E37"/>
    <w:rsid w:val="006E2FA5"/>
    <w:rsid w:val="006E3CF1"/>
    <w:rsid w:val="006E4257"/>
    <w:rsid w:val="006E6DAC"/>
    <w:rsid w:val="006E7E80"/>
    <w:rsid w:val="006F0D9D"/>
    <w:rsid w:val="006F2972"/>
    <w:rsid w:val="006F2D56"/>
    <w:rsid w:val="006F48CA"/>
    <w:rsid w:val="006F64DD"/>
    <w:rsid w:val="00700031"/>
    <w:rsid w:val="00704983"/>
    <w:rsid w:val="00712DE9"/>
    <w:rsid w:val="00715127"/>
    <w:rsid w:val="00715955"/>
    <w:rsid w:val="00715E8E"/>
    <w:rsid w:val="007168C6"/>
    <w:rsid w:val="00723580"/>
    <w:rsid w:val="00723608"/>
    <w:rsid w:val="00723755"/>
    <w:rsid w:val="00723947"/>
    <w:rsid w:val="0073136C"/>
    <w:rsid w:val="00731F0F"/>
    <w:rsid w:val="00733250"/>
    <w:rsid w:val="007369A5"/>
    <w:rsid w:val="00736D0B"/>
    <w:rsid w:val="00737DEB"/>
    <w:rsid w:val="00741404"/>
    <w:rsid w:val="00743559"/>
    <w:rsid w:val="00744330"/>
    <w:rsid w:val="007449E5"/>
    <w:rsid w:val="00747FF0"/>
    <w:rsid w:val="007519FD"/>
    <w:rsid w:val="00754EF0"/>
    <w:rsid w:val="00756879"/>
    <w:rsid w:val="00761DD8"/>
    <w:rsid w:val="00764D4E"/>
    <w:rsid w:val="00765A1F"/>
    <w:rsid w:val="0077568A"/>
    <w:rsid w:val="00775B6D"/>
    <w:rsid w:val="00776D68"/>
    <w:rsid w:val="00781162"/>
    <w:rsid w:val="00782857"/>
    <w:rsid w:val="007837B4"/>
    <w:rsid w:val="007850EE"/>
    <w:rsid w:val="00785356"/>
    <w:rsid w:val="00785B95"/>
    <w:rsid w:val="00790E96"/>
    <w:rsid w:val="0079272F"/>
    <w:rsid w:val="00793366"/>
    <w:rsid w:val="007962CD"/>
    <w:rsid w:val="007A0EEB"/>
    <w:rsid w:val="007A1EB8"/>
    <w:rsid w:val="007A23EF"/>
    <w:rsid w:val="007A55D2"/>
    <w:rsid w:val="007A716F"/>
    <w:rsid w:val="007A7BBA"/>
    <w:rsid w:val="007B2095"/>
    <w:rsid w:val="007B270A"/>
    <w:rsid w:val="007B4120"/>
    <w:rsid w:val="007C0695"/>
    <w:rsid w:val="007C0F5C"/>
    <w:rsid w:val="007C3A62"/>
    <w:rsid w:val="007C419A"/>
    <w:rsid w:val="007C4316"/>
    <w:rsid w:val="007C4CC8"/>
    <w:rsid w:val="007C4D7B"/>
    <w:rsid w:val="007C5426"/>
    <w:rsid w:val="007C5798"/>
    <w:rsid w:val="007D1749"/>
    <w:rsid w:val="007D1D5E"/>
    <w:rsid w:val="007D2695"/>
    <w:rsid w:val="007D2E63"/>
    <w:rsid w:val="007D4832"/>
    <w:rsid w:val="007E19DA"/>
    <w:rsid w:val="007E21B2"/>
    <w:rsid w:val="007E2C4E"/>
    <w:rsid w:val="007E3D4F"/>
    <w:rsid w:val="007E4F20"/>
    <w:rsid w:val="007F06D1"/>
    <w:rsid w:val="007F1905"/>
    <w:rsid w:val="007F60E8"/>
    <w:rsid w:val="007F67AC"/>
    <w:rsid w:val="007F733A"/>
    <w:rsid w:val="00801300"/>
    <w:rsid w:val="00801BA0"/>
    <w:rsid w:val="00801F92"/>
    <w:rsid w:val="00802C64"/>
    <w:rsid w:val="00805E52"/>
    <w:rsid w:val="008061D0"/>
    <w:rsid w:val="0080796D"/>
    <w:rsid w:val="00810B38"/>
    <w:rsid w:val="00811DE4"/>
    <w:rsid w:val="00812838"/>
    <w:rsid w:val="00813746"/>
    <w:rsid w:val="00817339"/>
    <w:rsid w:val="00817C80"/>
    <w:rsid w:val="00817E11"/>
    <w:rsid w:val="008204C7"/>
    <w:rsid w:val="00820992"/>
    <w:rsid w:val="0082323E"/>
    <w:rsid w:val="00823602"/>
    <w:rsid w:val="0082377C"/>
    <w:rsid w:val="008255F5"/>
    <w:rsid w:val="00825C98"/>
    <w:rsid w:val="00825F29"/>
    <w:rsid w:val="00827F5E"/>
    <w:rsid w:val="0083014E"/>
    <w:rsid w:val="00831D86"/>
    <w:rsid w:val="0083214A"/>
    <w:rsid w:val="008329DF"/>
    <w:rsid w:val="00833A8F"/>
    <w:rsid w:val="00834220"/>
    <w:rsid w:val="00835024"/>
    <w:rsid w:val="008430F2"/>
    <w:rsid w:val="0084411F"/>
    <w:rsid w:val="00845723"/>
    <w:rsid w:val="008504D2"/>
    <w:rsid w:val="00851944"/>
    <w:rsid w:val="00851EF9"/>
    <w:rsid w:val="00854054"/>
    <w:rsid w:val="008577FD"/>
    <w:rsid w:val="00860B03"/>
    <w:rsid w:val="00862C4F"/>
    <w:rsid w:val="0086497A"/>
    <w:rsid w:val="00864F4C"/>
    <w:rsid w:val="0086559A"/>
    <w:rsid w:val="008713A1"/>
    <w:rsid w:val="008732FF"/>
    <w:rsid w:val="00873EC1"/>
    <w:rsid w:val="00874348"/>
    <w:rsid w:val="008754AB"/>
    <w:rsid w:val="0088060C"/>
    <w:rsid w:val="00883486"/>
    <w:rsid w:val="008908C4"/>
    <w:rsid w:val="0089232F"/>
    <w:rsid w:val="0089327C"/>
    <w:rsid w:val="00893576"/>
    <w:rsid w:val="00893594"/>
    <w:rsid w:val="00893E73"/>
    <w:rsid w:val="00896921"/>
    <w:rsid w:val="008A1095"/>
    <w:rsid w:val="008A6328"/>
    <w:rsid w:val="008A761A"/>
    <w:rsid w:val="008B02DC"/>
    <w:rsid w:val="008B0DAC"/>
    <w:rsid w:val="008B10BC"/>
    <w:rsid w:val="008B11BA"/>
    <w:rsid w:val="008B57CE"/>
    <w:rsid w:val="008B57F2"/>
    <w:rsid w:val="008B5824"/>
    <w:rsid w:val="008C1914"/>
    <w:rsid w:val="008C26DE"/>
    <w:rsid w:val="008C295E"/>
    <w:rsid w:val="008D2225"/>
    <w:rsid w:val="008D4752"/>
    <w:rsid w:val="008E271C"/>
    <w:rsid w:val="008E418E"/>
    <w:rsid w:val="008E4D28"/>
    <w:rsid w:val="008E5BC6"/>
    <w:rsid w:val="008E5FBF"/>
    <w:rsid w:val="008E6A25"/>
    <w:rsid w:val="008F198B"/>
    <w:rsid w:val="008F5193"/>
    <w:rsid w:val="00900312"/>
    <w:rsid w:val="009013A7"/>
    <w:rsid w:val="009017FB"/>
    <w:rsid w:val="009017FC"/>
    <w:rsid w:val="0090506B"/>
    <w:rsid w:val="009050C9"/>
    <w:rsid w:val="00905FCE"/>
    <w:rsid w:val="009066FC"/>
    <w:rsid w:val="0090789B"/>
    <w:rsid w:val="00907F37"/>
    <w:rsid w:val="00911D14"/>
    <w:rsid w:val="009123F0"/>
    <w:rsid w:val="009140A3"/>
    <w:rsid w:val="009144A2"/>
    <w:rsid w:val="0091510C"/>
    <w:rsid w:val="00916C10"/>
    <w:rsid w:val="009259AC"/>
    <w:rsid w:val="00926DF1"/>
    <w:rsid w:val="00926F38"/>
    <w:rsid w:val="0092753D"/>
    <w:rsid w:val="00927DC7"/>
    <w:rsid w:val="00927F7F"/>
    <w:rsid w:val="00934301"/>
    <w:rsid w:val="00935F67"/>
    <w:rsid w:val="00936CD1"/>
    <w:rsid w:val="009404CC"/>
    <w:rsid w:val="00941747"/>
    <w:rsid w:val="00941EFB"/>
    <w:rsid w:val="009446E8"/>
    <w:rsid w:val="00944F1D"/>
    <w:rsid w:val="00947AFB"/>
    <w:rsid w:val="00951D7D"/>
    <w:rsid w:val="00955082"/>
    <w:rsid w:val="00962009"/>
    <w:rsid w:val="009630C7"/>
    <w:rsid w:val="00964119"/>
    <w:rsid w:val="0096649D"/>
    <w:rsid w:val="00972B55"/>
    <w:rsid w:val="009743B7"/>
    <w:rsid w:val="00980BDE"/>
    <w:rsid w:val="00980F26"/>
    <w:rsid w:val="0098228B"/>
    <w:rsid w:val="009828DA"/>
    <w:rsid w:val="00983E8B"/>
    <w:rsid w:val="00985BAB"/>
    <w:rsid w:val="00986342"/>
    <w:rsid w:val="0099766B"/>
    <w:rsid w:val="009A1922"/>
    <w:rsid w:val="009A4E33"/>
    <w:rsid w:val="009A4FD4"/>
    <w:rsid w:val="009A60EB"/>
    <w:rsid w:val="009B0372"/>
    <w:rsid w:val="009B1860"/>
    <w:rsid w:val="009B1B5F"/>
    <w:rsid w:val="009B6642"/>
    <w:rsid w:val="009B6673"/>
    <w:rsid w:val="009B75DE"/>
    <w:rsid w:val="009B7F76"/>
    <w:rsid w:val="009C191B"/>
    <w:rsid w:val="009C2BD6"/>
    <w:rsid w:val="009C3790"/>
    <w:rsid w:val="009C55EC"/>
    <w:rsid w:val="009C69CA"/>
    <w:rsid w:val="009D06EE"/>
    <w:rsid w:val="009D5119"/>
    <w:rsid w:val="009D53ED"/>
    <w:rsid w:val="009D71D5"/>
    <w:rsid w:val="009D76FC"/>
    <w:rsid w:val="009E1172"/>
    <w:rsid w:val="009E1F32"/>
    <w:rsid w:val="009E1FB2"/>
    <w:rsid w:val="009E23A0"/>
    <w:rsid w:val="009E247D"/>
    <w:rsid w:val="009E2A36"/>
    <w:rsid w:val="009E776C"/>
    <w:rsid w:val="009F244A"/>
    <w:rsid w:val="009F7B2F"/>
    <w:rsid w:val="00A01D73"/>
    <w:rsid w:val="00A12DF6"/>
    <w:rsid w:val="00A1726E"/>
    <w:rsid w:val="00A204CF"/>
    <w:rsid w:val="00A228C5"/>
    <w:rsid w:val="00A232D6"/>
    <w:rsid w:val="00A23D49"/>
    <w:rsid w:val="00A249FB"/>
    <w:rsid w:val="00A27004"/>
    <w:rsid w:val="00A30C29"/>
    <w:rsid w:val="00A34DD6"/>
    <w:rsid w:val="00A36819"/>
    <w:rsid w:val="00A36989"/>
    <w:rsid w:val="00A369D9"/>
    <w:rsid w:val="00A43628"/>
    <w:rsid w:val="00A51092"/>
    <w:rsid w:val="00A52705"/>
    <w:rsid w:val="00A52893"/>
    <w:rsid w:val="00A54192"/>
    <w:rsid w:val="00A55C9F"/>
    <w:rsid w:val="00A56707"/>
    <w:rsid w:val="00A56AF2"/>
    <w:rsid w:val="00A6035E"/>
    <w:rsid w:val="00A6144C"/>
    <w:rsid w:val="00A633A1"/>
    <w:rsid w:val="00A66617"/>
    <w:rsid w:val="00A671F8"/>
    <w:rsid w:val="00A673A4"/>
    <w:rsid w:val="00A67C63"/>
    <w:rsid w:val="00A724AE"/>
    <w:rsid w:val="00A73329"/>
    <w:rsid w:val="00A74931"/>
    <w:rsid w:val="00A75C70"/>
    <w:rsid w:val="00A807E7"/>
    <w:rsid w:val="00A82359"/>
    <w:rsid w:val="00A832B5"/>
    <w:rsid w:val="00A84585"/>
    <w:rsid w:val="00A845DA"/>
    <w:rsid w:val="00A865D2"/>
    <w:rsid w:val="00A94C20"/>
    <w:rsid w:val="00A95F98"/>
    <w:rsid w:val="00A9743F"/>
    <w:rsid w:val="00A97DA1"/>
    <w:rsid w:val="00AA227F"/>
    <w:rsid w:val="00AA3BC7"/>
    <w:rsid w:val="00AA754A"/>
    <w:rsid w:val="00AA7823"/>
    <w:rsid w:val="00AB099E"/>
    <w:rsid w:val="00AB1B15"/>
    <w:rsid w:val="00AB3F41"/>
    <w:rsid w:val="00AB4328"/>
    <w:rsid w:val="00AB567C"/>
    <w:rsid w:val="00AB702A"/>
    <w:rsid w:val="00AC26A4"/>
    <w:rsid w:val="00AC41BA"/>
    <w:rsid w:val="00AC42F1"/>
    <w:rsid w:val="00AC7AEF"/>
    <w:rsid w:val="00AD4A83"/>
    <w:rsid w:val="00AD7E3A"/>
    <w:rsid w:val="00AE0A1C"/>
    <w:rsid w:val="00AE0A2E"/>
    <w:rsid w:val="00AE354C"/>
    <w:rsid w:val="00AE6943"/>
    <w:rsid w:val="00AF3B69"/>
    <w:rsid w:val="00AF4B07"/>
    <w:rsid w:val="00AF6186"/>
    <w:rsid w:val="00AF7A3A"/>
    <w:rsid w:val="00AF7D48"/>
    <w:rsid w:val="00B01AF3"/>
    <w:rsid w:val="00B03D68"/>
    <w:rsid w:val="00B0461D"/>
    <w:rsid w:val="00B10222"/>
    <w:rsid w:val="00B13B23"/>
    <w:rsid w:val="00B14150"/>
    <w:rsid w:val="00B14157"/>
    <w:rsid w:val="00B160DB"/>
    <w:rsid w:val="00B17043"/>
    <w:rsid w:val="00B17ACF"/>
    <w:rsid w:val="00B20836"/>
    <w:rsid w:val="00B235BB"/>
    <w:rsid w:val="00B25A64"/>
    <w:rsid w:val="00B25C8B"/>
    <w:rsid w:val="00B27A44"/>
    <w:rsid w:val="00B30BBF"/>
    <w:rsid w:val="00B32F3E"/>
    <w:rsid w:val="00B33C03"/>
    <w:rsid w:val="00B354CC"/>
    <w:rsid w:val="00B440B3"/>
    <w:rsid w:val="00B44E56"/>
    <w:rsid w:val="00B459DB"/>
    <w:rsid w:val="00B46543"/>
    <w:rsid w:val="00B47D33"/>
    <w:rsid w:val="00B50B16"/>
    <w:rsid w:val="00B52BE0"/>
    <w:rsid w:val="00B54133"/>
    <w:rsid w:val="00B560A6"/>
    <w:rsid w:val="00B577BB"/>
    <w:rsid w:val="00B659CC"/>
    <w:rsid w:val="00B701ED"/>
    <w:rsid w:val="00B70F1C"/>
    <w:rsid w:val="00B7108C"/>
    <w:rsid w:val="00B72D82"/>
    <w:rsid w:val="00B74C81"/>
    <w:rsid w:val="00B757DC"/>
    <w:rsid w:val="00B76028"/>
    <w:rsid w:val="00B8086C"/>
    <w:rsid w:val="00B85195"/>
    <w:rsid w:val="00B861B4"/>
    <w:rsid w:val="00B86B32"/>
    <w:rsid w:val="00B86DFE"/>
    <w:rsid w:val="00B9071C"/>
    <w:rsid w:val="00B90990"/>
    <w:rsid w:val="00B91277"/>
    <w:rsid w:val="00B922FF"/>
    <w:rsid w:val="00B9281E"/>
    <w:rsid w:val="00B93925"/>
    <w:rsid w:val="00B95187"/>
    <w:rsid w:val="00B97225"/>
    <w:rsid w:val="00BA00E9"/>
    <w:rsid w:val="00BA2D55"/>
    <w:rsid w:val="00BA71B1"/>
    <w:rsid w:val="00BA7EDD"/>
    <w:rsid w:val="00BB0508"/>
    <w:rsid w:val="00BB0637"/>
    <w:rsid w:val="00BB1F2F"/>
    <w:rsid w:val="00BB345F"/>
    <w:rsid w:val="00BB68EA"/>
    <w:rsid w:val="00BC1C27"/>
    <w:rsid w:val="00BC22BC"/>
    <w:rsid w:val="00BC6BBF"/>
    <w:rsid w:val="00BD1572"/>
    <w:rsid w:val="00BD63C3"/>
    <w:rsid w:val="00BD7A1E"/>
    <w:rsid w:val="00BE077F"/>
    <w:rsid w:val="00BE14E3"/>
    <w:rsid w:val="00BE18FA"/>
    <w:rsid w:val="00BE221C"/>
    <w:rsid w:val="00BE3774"/>
    <w:rsid w:val="00BE4015"/>
    <w:rsid w:val="00BE41E5"/>
    <w:rsid w:val="00BE7CA3"/>
    <w:rsid w:val="00BF1DE3"/>
    <w:rsid w:val="00BF4109"/>
    <w:rsid w:val="00BF4CC3"/>
    <w:rsid w:val="00BF519F"/>
    <w:rsid w:val="00BF71B1"/>
    <w:rsid w:val="00C054C7"/>
    <w:rsid w:val="00C057B5"/>
    <w:rsid w:val="00C05A3B"/>
    <w:rsid w:val="00C06790"/>
    <w:rsid w:val="00C140D4"/>
    <w:rsid w:val="00C16082"/>
    <w:rsid w:val="00C22526"/>
    <w:rsid w:val="00C22687"/>
    <w:rsid w:val="00C23FA2"/>
    <w:rsid w:val="00C27B55"/>
    <w:rsid w:val="00C32E4D"/>
    <w:rsid w:val="00C333A0"/>
    <w:rsid w:val="00C33580"/>
    <w:rsid w:val="00C35C85"/>
    <w:rsid w:val="00C36A81"/>
    <w:rsid w:val="00C4151A"/>
    <w:rsid w:val="00C41974"/>
    <w:rsid w:val="00C469C6"/>
    <w:rsid w:val="00C53F4A"/>
    <w:rsid w:val="00C54125"/>
    <w:rsid w:val="00C54419"/>
    <w:rsid w:val="00C55238"/>
    <w:rsid w:val="00C559A8"/>
    <w:rsid w:val="00C55B54"/>
    <w:rsid w:val="00C6004C"/>
    <w:rsid w:val="00C6098E"/>
    <w:rsid w:val="00C6152C"/>
    <w:rsid w:val="00C63957"/>
    <w:rsid w:val="00C64179"/>
    <w:rsid w:val="00C65083"/>
    <w:rsid w:val="00C66259"/>
    <w:rsid w:val="00C66F7D"/>
    <w:rsid w:val="00C70769"/>
    <w:rsid w:val="00C72B26"/>
    <w:rsid w:val="00C74810"/>
    <w:rsid w:val="00C90D68"/>
    <w:rsid w:val="00C91A00"/>
    <w:rsid w:val="00C939FE"/>
    <w:rsid w:val="00C93CB8"/>
    <w:rsid w:val="00CA126C"/>
    <w:rsid w:val="00CA2057"/>
    <w:rsid w:val="00CA3166"/>
    <w:rsid w:val="00CA3A04"/>
    <w:rsid w:val="00CA4BDA"/>
    <w:rsid w:val="00CA5DE8"/>
    <w:rsid w:val="00CB1F66"/>
    <w:rsid w:val="00CB2951"/>
    <w:rsid w:val="00CB48BF"/>
    <w:rsid w:val="00CC3AC0"/>
    <w:rsid w:val="00CC607B"/>
    <w:rsid w:val="00CD1B45"/>
    <w:rsid w:val="00CD282B"/>
    <w:rsid w:val="00CD4070"/>
    <w:rsid w:val="00CD4C35"/>
    <w:rsid w:val="00CD4C82"/>
    <w:rsid w:val="00CD7369"/>
    <w:rsid w:val="00CE0B0E"/>
    <w:rsid w:val="00CE1F7F"/>
    <w:rsid w:val="00CE3831"/>
    <w:rsid w:val="00CE3CA8"/>
    <w:rsid w:val="00CE3F60"/>
    <w:rsid w:val="00CE445D"/>
    <w:rsid w:val="00CE5576"/>
    <w:rsid w:val="00CE6552"/>
    <w:rsid w:val="00CE7302"/>
    <w:rsid w:val="00CF0548"/>
    <w:rsid w:val="00CF1506"/>
    <w:rsid w:val="00CF7FD1"/>
    <w:rsid w:val="00D00ABB"/>
    <w:rsid w:val="00D02E4A"/>
    <w:rsid w:val="00D02EEC"/>
    <w:rsid w:val="00D03551"/>
    <w:rsid w:val="00D04B96"/>
    <w:rsid w:val="00D0592E"/>
    <w:rsid w:val="00D05BF5"/>
    <w:rsid w:val="00D05FB2"/>
    <w:rsid w:val="00D0670F"/>
    <w:rsid w:val="00D06A63"/>
    <w:rsid w:val="00D0707C"/>
    <w:rsid w:val="00D07E0E"/>
    <w:rsid w:val="00D11478"/>
    <w:rsid w:val="00D14F39"/>
    <w:rsid w:val="00D15ED0"/>
    <w:rsid w:val="00D16E72"/>
    <w:rsid w:val="00D21B3E"/>
    <w:rsid w:val="00D21FED"/>
    <w:rsid w:val="00D24251"/>
    <w:rsid w:val="00D24814"/>
    <w:rsid w:val="00D26A96"/>
    <w:rsid w:val="00D30EF7"/>
    <w:rsid w:val="00D325A7"/>
    <w:rsid w:val="00D32F0B"/>
    <w:rsid w:val="00D3336F"/>
    <w:rsid w:val="00D33E8E"/>
    <w:rsid w:val="00D343E2"/>
    <w:rsid w:val="00D34F75"/>
    <w:rsid w:val="00D35C0F"/>
    <w:rsid w:val="00D361A2"/>
    <w:rsid w:val="00D36274"/>
    <w:rsid w:val="00D44C2E"/>
    <w:rsid w:val="00D45414"/>
    <w:rsid w:val="00D53B1C"/>
    <w:rsid w:val="00D55C87"/>
    <w:rsid w:val="00D566BD"/>
    <w:rsid w:val="00D57A4D"/>
    <w:rsid w:val="00D602A0"/>
    <w:rsid w:val="00D60AA7"/>
    <w:rsid w:val="00D61B6E"/>
    <w:rsid w:val="00D61BB9"/>
    <w:rsid w:val="00D62429"/>
    <w:rsid w:val="00D6435F"/>
    <w:rsid w:val="00D75E28"/>
    <w:rsid w:val="00D75EC1"/>
    <w:rsid w:val="00D764A2"/>
    <w:rsid w:val="00D772C2"/>
    <w:rsid w:val="00D8008E"/>
    <w:rsid w:val="00D82C45"/>
    <w:rsid w:val="00D908A8"/>
    <w:rsid w:val="00D94DEC"/>
    <w:rsid w:val="00D9580C"/>
    <w:rsid w:val="00D977B6"/>
    <w:rsid w:val="00DA1402"/>
    <w:rsid w:val="00DA2653"/>
    <w:rsid w:val="00DA347D"/>
    <w:rsid w:val="00DA3F78"/>
    <w:rsid w:val="00DA482E"/>
    <w:rsid w:val="00DA4A31"/>
    <w:rsid w:val="00DA5262"/>
    <w:rsid w:val="00DA7B04"/>
    <w:rsid w:val="00DB1734"/>
    <w:rsid w:val="00DB17B1"/>
    <w:rsid w:val="00DB36C2"/>
    <w:rsid w:val="00DB65FA"/>
    <w:rsid w:val="00DC169B"/>
    <w:rsid w:val="00DC1B59"/>
    <w:rsid w:val="00DC2AB9"/>
    <w:rsid w:val="00DC63F0"/>
    <w:rsid w:val="00DC6AEA"/>
    <w:rsid w:val="00DD3EB0"/>
    <w:rsid w:val="00DD41CA"/>
    <w:rsid w:val="00DD505A"/>
    <w:rsid w:val="00DD5668"/>
    <w:rsid w:val="00DD6EE5"/>
    <w:rsid w:val="00DD739D"/>
    <w:rsid w:val="00DE386C"/>
    <w:rsid w:val="00DE4D35"/>
    <w:rsid w:val="00DF098B"/>
    <w:rsid w:val="00DF0D4E"/>
    <w:rsid w:val="00DF11C4"/>
    <w:rsid w:val="00DF210C"/>
    <w:rsid w:val="00DF4B6A"/>
    <w:rsid w:val="00E02C09"/>
    <w:rsid w:val="00E036FB"/>
    <w:rsid w:val="00E04D59"/>
    <w:rsid w:val="00E05C16"/>
    <w:rsid w:val="00E07BC4"/>
    <w:rsid w:val="00E07DA1"/>
    <w:rsid w:val="00E10521"/>
    <w:rsid w:val="00E11918"/>
    <w:rsid w:val="00E123CB"/>
    <w:rsid w:val="00E144BD"/>
    <w:rsid w:val="00E16DA3"/>
    <w:rsid w:val="00E20BBF"/>
    <w:rsid w:val="00E20E13"/>
    <w:rsid w:val="00E21DBC"/>
    <w:rsid w:val="00E22B0E"/>
    <w:rsid w:val="00E22DBB"/>
    <w:rsid w:val="00E248FB"/>
    <w:rsid w:val="00E275D7"/>
    <w:rsid w:val="00E27B90"/>
    <w:rsid w:val="00E27DBE"/>
    <w:rsid w:val="00E32AB1"/>
    <w:rsid w:val="00E36AF9"/>
    <w:rsid w:val="00E36C71"/>
    <w:rsid w:val="00E40404"/>
    <w:rsid w:val="00E44421"/>
    <w:rsid w:val="00E4573F"/>
    <w:rsid w:val="00E459C6"/>
    <w:rsid w:val="00E47589"/>
    <w:rsid w:val="00E56F40"/>
    <w:rsid w:val="00E64915"/>
    <w:rsid w:val="00E661D4"/>
    <w:rsid w:val="00E679B3"/>
    <w:rsid w:val="00E67AE0"/>
    <w:rsid w:val="00E70091"/>
    <w:rsid w:val="00E72039"/>
    <w:rsid w:val="00E720F5"/>
    <w:rsid w:val="00E7296B"/>
    <w:rsid w:val="00E75E5A"/>
    <w:rsid w:val="00E76AFE"/>
    <w:rsid w:val="00E76D47"/>
    <w:rsid w:val="00E829DA"/>
    <w:rsid w:val="00E849F7"/>
    <w:rsid w:val="00E84AA5"/>
    <w:rsid w:val="00E90302"/>
    <w:rsid w:val="00E9374F"/>
    <w:rsid w:val="00E9382C"/>
    <w:rsid w:val="00E9472C"/>
    <w:rsid w:val="00E9738A"/>
    <w:rsid w:val="00E97396"/>
    <w:rsid w:val="00EA10F3"/>
    <w:rsid w:val="00EA185E"/>
    <w:rsid w:val="00EA311B"/>
    <w:rsid w:val="00EA3FBF"/>
    <w:rsid w:val="00EA592A"/>
    <w:rsid w:val="00EB0FE3"/>
    <w:rsid w:val="00EB14E4"/>
    <w:rsid w:val="00EB32A5"/>
    <w:rsid w:val="00EB34ED"/>
    <w:rsid w:val="00EB7BE0"/>
    <w:rsid w:val="00EC2EF7"/>
    <w:rsid w:val="00EC315E"/>
    <w:rsid w:val="00EC3F30"/>
    <w:rsid w:val="00EC7D0C"/>
    <w:rsid w:val="00ED077C"/>
    <w:rsid w:val="00ED1190"/>
    <w:rsid w:val="00ED6544"/>
    <w:rsid w:val="00ED6A07"/>
    <w:rsid w:val="00EE0277"/>
    <w:rsid w:val="00EE20D2"/>
    <w:rsid w:val="00EE3E00"/>
    <w:rsid w:val="00EE3F7E"/>
    <w:rsid w:val="00EE5DD2"/>
    <w:rsid w:val="00EF1307"/>
    <w:rsid w:val="00EF18BB"/>
    <w:rsid w:val="00EF2E95"/>
    <w:rsid w:val="00F00A79"/>
    <w:rsid w:val="00F00E86"/>
    <w:rsid w:val="00F03DC9"/>
    <w:rsid w:val="00F05339"/>
    <w:rsid w:val="00F07C1E"/>
    <w:rsid w:val="00F105DB"/>
    <w:rsid w:val="00F106D2"/>
    <w:rsid w:val="00F12B39"/>
    <w:rsid w:val="00F12D7C"/>
    <w:rsid w:val="00F1318A"/>
    <w:rsid w:val="00F132BC"/>
    <w:rsid w:val="00F13D80"/>
    <w:rsid w:val="00F14C02"/>
    <w:rsid w:val="00F16AAA"/>
    <w:rsid w:val="00F21161"/>
    <w:rsid w:val="00F2146E"/>
    <w:rsid w:val="00F218EF"/>
    <w:rsid w:val="00F21BC7"/>
    <w:rsid w:val="00F25CA1"/>
    <w:rsid w:val="00F266A2"/>
    <w:rsid w:val="00F32269"/>
    <w:rsid w:val="00F37357"/>
    <w:rsid w:val="00F43B96"/>
    <w:rsid w:val="00F54EEB"/>
    <w:rsid w:val="00F558AF"/>
    <w:rsid w:val="00F559CF"/>
    <w:rsid w:val="00F56A6F"/>
    <w:rsid w:val="00F5709C"/>
    <w:rsid w:val="00F643F5"/>
    <w:rsid w:val="00F64EF1"/>
    <w:rsid w:val="00F65F47"/>
    <w:rsid w:val="00F6699F"/>
    <w:rsid w:val="00F74BED"/>
    <w:rsid w:val="00F7767A"/>
    <w:rsid w:val="00F84CC9"/>
    <w:rsid w:val="00F8765F"/>
    <w:rsid w:val="00F876B4"/>
    <w:rsid w:val="00F90128"/>
    <w:rsid w:val="00F90767"/>
    <w:rsid w:val="00F9399B"/>
    <w:rsid w:val="00FA5561"/>
    <w:rsid w:val="00FA5C79"/>
    <w:rsid w:val="00FA685B"/>
    <w:rsid w:val="00FA6CC5"/>
    <w:rsid w:val="00FB087F"/>
    <w:rsid w:val="00FB0C01"/>
    <w:rsid w:val="00FC18F2"/>
    <w:rsid w:val="00FC39E5"/>
    <w:rsid w:val="00FC3A78"/>
    <w:rsid w:val="00FC465A"/>
    <w:rsid w:val="00FC4B33"/>
    <w:rsid w:val="00FC6ED0"/>
    <w:rsid w:val="00FC7782"/>
    <w:rsid w:val="00FD1005"/>
    <w:rsid w:val="00FD29B4"/>
    <w:rsid w:val="00FD2BDA"/>
    <w:rsid w:val="00FD6C75"/>
    <w:rsid w:val="00FD7A5B"/>
    <w:rsid w:val="00FE0409"/>
    <w:rsid w:val="00FE21BA"/>
    <w:rsid w:val="00FE71B3"/>
    <w:rsid w:val="00FF3C87"/>
    <w:rsid w:val="00FF42C5"/>
    <w:rsid w:val="00FF71E8"/>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313171"/>
    <w:pPr>
      <w:jc w:val="both"/>
    </w:pPr>
    <w:rPr>
      <w:rFonts w:eastAsiaTheme="minorEastAsia"/>
      <w:sz w:val="24"/>
    </w:rPr>
  </w:style>
  <w:style w:type="paragraph" w:styleId="Titolo1">
    <w:name w:val="heading 1"/>
    <w:basedOn w:val="Normale"/>
    <w:next w:val="Normale"/>
    <w:link w:val="Titolo1Carattere"/>
    <w:uiPriority w:val="99"/>
    <w:rsid w:val="0031317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rsid w:val="0031317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rsid w:val="0031317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rsid w:val="0031317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qFormat/>
    <w:rsid w:val="00313171"/>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rsid w:val="0031317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qFormat/>
    <w:rsid w:val="00313171"/>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qFormat/>
    <w:rsid w:val="0031317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qFormat/>
    <w:rsid w:val="0031317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131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171"/>
    <w:rPr>
      <w:rFonts w:ascii="Tahoma" w:eastAsiaTheme="minorEastAsia" w:hAnsi="Tahoma" w:cs="Tahoma"/>
      <w:sz w:val="16"/>
      <w:szCs w:val="16"/>
    </w:rPr>
  </w:style>
  <w:style w:type="character" w:styleId="Titolodellibro">
    <w:name w:val="Book Title"/>
    <w:uiPriority w:val="99"/>
    <w:qFormat/>
    <w:rsid w:val="00313171"/>
    <w:rPr>
      <w:i/>
      <w:iCs/>
      <w:smallCaps/>
      <w:spacing w:val="5"/>
    </w:rPr>
  </w:style>
  <w:style w:type="numbering" w:customStyle="1" w:styleId="ECHRA1StyleBulletedSquare">
    <w:name w:val="ECHR_A1_Style_Bulleted_Square"/>
    <w:basedOn w:val="Nessunelenco"/>
    <w:rsid w:val="008754AB"/>
    <w:pPr>
      <w:numPr>
        <w:numId w:val="2"/>
      </w:numPr>
    </w:pPr>
  </w:style>
  <w:style w:type="numbering" w:customStyle="1" w:styleId="ECHRA1StyleNumberedList">
    <w:name w:val="ECHR_A1_Style_Numbered_List"/>
    <w:basedOn w:val="Nessunelenco"/>
    <w:rsid w:val="008754AB"/>
    <w:pPr>
      <w:numPr>
        <w:numId w:val="3"/>
      </w:numPr>
    </w:pPr>
  </w:style>
  <w:style w:type="character" w:styleId="Enfasigrassetto">
    <w:name w:val="Strong"/>
    <w:uiPriority w:val="99"/>
    <w:qFormat/>
    <w:rsid w:val="00313171"/>
    <w:rPr>
      <w:b/>
      <w:bCs/>
    </w:rPr>
  </w:style>
  <w:style w:type="paragraph" w:styleId="Nessunaspaziatura">
    <w:name w:val="No Spacing"/>
    <w:basedOn w:val="Normale"/>
    <w:link w:val="NessunaspaziaturaCarattere"/>
    <w:qFormat/>
    <w:rsid w:val="00313171"/>
  </w:style>
  <w:style w:type="character" w:customStyle="1" w:styleId="NessunaspaziaturaCarattere">
    <w:name w:val="Nessuna spaziatura Carattere"/>
    <w:basedOn w:val="Carpredefinitoparagrafo"/>
    <w:link w:val="Nessunaspaziatura"/>
    <w:rsid w:val="00313171"/>
    <w:rPr>
      <w:rFonts w:eastAsiaTheme="minorEastAsia"/>
      <w:sz w:val="24"/>
    </w:rPr>
  </w:style>
  <w:style w:type="paragraph" w:customStyle="1" w:styleId="ECHRBullet1">
    <w:name w:val="ECHR_Bullet_1"/>
    <w:aliases w:val="Bul_1"/>
    <w:basedOn w:val="Normale"/>
    <w:uiPriority w:val="8"/>
    <w:qFormat/>
    <w:rsid w:val="009D5119"/>
    <w:pPr>
      <w:numPr>
        <w:numId w:val="4"/>
      </w:numPr>
      <w:spacing w:before="60" w:after="60"/>
    </w:p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e"/>
    <w:uiPriority w:val="9"/>
    <w:qFormat/>
    <w:rsid w:val="002C0692"/>
    <w:pPr>
      <w:numPr>
        <w:numId w:val="5"/>
      </w:numPr>
      <w:spacing w:before="60" w:after="60"/>
    </w:p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Ju_Header,Top_Header"/>
    <w:basedOn w:val="Intestazione"/>
    <w:uiPriority w:val="4"/>
    <w:qFormat/>
    <w:rsid w:val="00313171"/>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rsid w:val="00313171"/>
    <w:pPr>
      <w:jc w:val="left"/>
    </w:pPr>
    <w:rPr>
      <w:sz w:val="8"/>
    </w:rPr>
  </w:style>
  <w:style w:type="paragraph" w:customStyle="1" w:styleId="ECHRCoverTitle1">
    <w:name w:val="ECHR_Cover_Title_1"/>
    <w:aliases w:val="Cover_1"/>
    <w:basedOn w:val="Normale"/>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olo">
    <w:name w:val="Title"/>
    <w:basedOn w:val="Normale"/>
    <w:next w:val="Normale"/>
    <w:link w:val="TitoloCarattere"/>
    <w:uiPriority w:val="99"/>
    <w:qFormat/>
    <w:rsid w:val="0031317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rsid w:val="00313171"/>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e"/>
    <w:next w:val="Normale"/>
    <w:uiPriority w:val="24"/>
    <w:qFormat/>
    <w:rsid w:val="00A66617"/>
    <w:pPr>
      <w:spacing w:before="1080" w:after="1080"/>
      <w:contextualSpacing/>
      <w:jc w:val="center"/>
    </w:pPr>
    <w:rPr>
      <w:b/>
      <w:color w:val="474747" w:themeColor="accent3" w:themeShade="BF"/>
    </w:rPr>
  </w:style>
  <w:style w:type="paragraph" w:customStyle="1" w:styleId="ECHRTitle2">
    <w:name w:val="ECHR_Title_2"/>
    <w:aliases w:val="Title_L_2"/>
    <w:basedOn w:val="Normale"/>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Ju_H_Article,Title_C_3"/>
    <w:basedOn w:val="Normale"/>
    <w:next w:val="ECHRParaQuote"/>
    <w:uiPriority w:val="27"/>
    <w:qFormat/>
    <w:rsid w:val="00313171"/>
    <w:pPr>
      <w:keepNext/>
      <w:keepLines/>
      <w:spacing w:before="240" w:after="120"/>
      <w:jc w:val="center"/>
      <w:outlineLvl w:val="3"/>
    </w:pPr>
    <w:rPr>
      <w:rFonts w:asciiTheme="majorHAnsi" w:hAnsiTheme="majorHAnsi"/>
      <w:b/>
      <w:sz w:val="20"/>
      <w:lang w:bidi="en-US"/>
    </w:rPr>
  </w:style>
  <w:style w:type="paragraph" w:customStyle="1" w:styleId="ECHRTitle3">
    <w:name w:val="ECHR_Title_3"/>
    <w:aliases w:val="Title_L_3"/>
    <w:basedOn w:val="Normale"/>
    <w:next w:val="ECHRParaSpaced"/>
    <w:uiPriority w:val="20"/>
    <w:qFormat/>
    <w:rsid w:val="00EB14E4"/>
    <w:pPr>
      <w:keepNext/>
      <w:keepLines/>
      <w:spacing w:before="240"/>
      <w:contextualSpacing/>
    </w:pPr>
    <w:rPr>
      <w:rFonts w:asciiTheme="majorHAnsi" w:hAnsiTheme="majorHAnsi"/>
      <w:b/>
      <w:color w:val="474747" w:themeColor="accent3" w:themeShade="BF"/>
    </w:rPr>
  </w:style>
  <w:style w:type="paragraph" w:customStyle="1" w:styleId="ECHRDivisionName">
    <w:name w:val="ECHR_DivisionName"/>
    <w:aliases w:val="Div_Name"/>
    <w:basedOn w:val="Normale"/>
    <w:link w:val="ECHRDivisionNameChar"/>
    <w:uiPriority w:val="29"/>
    <w:qFormat/>
    <w:rsid w:val="00E07DA1"/>
    <w:rPr>
      <w:b/>
      <w:color w:val="0072BC" w:themeColor="accent1"/>
    </w:rPr>
  </w:style>
  <w:style w:type="character" w:customStyle="1" w:styleId="ECHRDivisionNameChar">
    <w:name w:val="ECHR_DivisionName Char"/>
    <w:aliases w:val="Div_Name Char"/>
    <w:basedOn w:val="Carpredefinitoparagrafo"/>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e"/>
    <w:next w:val="ECHRFooter"/>
    <w:uiPriority w:val="57"/>
    <w:rsid w:val="00313171"/>
    <w:pPr>
      <w:pBdr>
        <w:top w:val="single" w:sz="6" w:space="1" w:color="5F5F5F"/>
      </w:pBdr>
      <w:tabs>
        <w:tab w:val="center" w:pos="4536"/>
        <w:tab w:val="right" w:pos="9696"/>
      </w:tabs>
      <w:ind w:left="-680" w:right="-680"/>
      <w:jc w:val="left"/>
    </w:pPr>
    <w:rPr>
      <w:color w:val="5F5F5F"/>
    </w:rPr>
  </w:style>
  <w:style w:type="paragraph" w:styleId="Intestazione">
    <w:name w:val="header"/>
    <w:basedOn w:val="Normale"/>
    <w:link w:val="IntestazioneCarattere"/>
    <w:uiPriority w:val="57"/>
    <w:rsid w:val="0031317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313171"/>
    <w:rPr>
      <w:sz w:val="24"/>
    </w:rPr>
  </w:style>
  <w:style w:type="character" w:customStyle="1" w:styleId="Titolo1Carattere">
    <w:name w:val="Titolo 1 Carattere"/>
    <w:basedOn w:val="Carpredefinitoparagrafo"/>
    <w:link w:val="Titolo1"/>
    <w:uiPriority w:val="99"/>
    <w:rsid w:val="00313171"/>
    <w:rPr>
      <w:rFonts w:asciiTheme="majorHAnsi" w:eastAsiaTheme="majorEastAsia" w:hAnsiTheme="majorHAnsi" w:cstheme="majorBidi"/>
      <w:b/>
      <w:bCs/>
      <w:color w:val="333333"/>
      <w:sz w:val="28"/>
      <w:szCs w:val="28"/>
    </w:rPr>
  </w:style>
  <w:style w:type="paragraph" w:customStyle="1" w:styleId="ECHRHeading1">
    <w:name w:val="ECHR_Heading_1"/>
    <w:aliases w:val="Ju_H_I_Roman,Head_1"/>
    <w:basedOn w:val="Titolo1"/>
    <w:next w:val="ECHRPara"/>
    <w:uiPriority w:val="19"/>
    <w:qFormat/>
    <w:rsid w:val="0031317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link w:val="ECHRHeading2Char"/>
    <w:uiPriority w:val="20"/>
    <w:qFormat/>
    <w:rsid w:val="00313171"/>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rsid w:val="00313171"/>
    <w:rPr>
      <w:rFonts w:asciiTheme="majorHAnsi" w:eastAsiaTheme="majorEastAsia" w:hAnsiTheme="majorHAnsi" w:cstheme="majorBidi"/>
      <w:b/>
      <w:bCs/>
      <w:color w:val="4D4D4D"/>
      <w:sz w:val="26"/>
      <w:szCs w:val="26"/>
    </w:rPr>
  </w:style>
  <w:style w:type="paragraph" w:customStyle="1" w:styleId="ECHRHeading3">
    <w:name w:val="ECHR_Heading_3"/>
    <w:aliases w:val="Ju_H_1.,Head_3"/>
    <w:basedOn w:val="Titolo3"/>
    <w:next w:val="ECHRPara"/>
    <w:uiPriority w:val="21"/>
    <w:qFormat/>
    <w:rsid w:val="0031317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Head_4"/>
    <w:basedOn w:val="Titolo4"/>
    <w:next w:val="ECHRPara"/>
    <w:uiPriority w:val="22"/>
    <w:qFormat/>
    <w:rsid w:val="00313171"/>
    <w:pPr>
      <w:keepNext/>
      <w:keepLines/>
      <w:tabs>
        <w:tab w:val="left" w:pos="975"/>
      </w:tabs>
      <w:spacing w:before="240" w:after="120"/>
      <w:ind w:left="975" w:hanging="340"/>
    </w:pPr>
    <w:rPr>
      <w:i w:val="0"/>
      <w:color w:val="auto"/>
      <w:sz w:val="20"/>
    </w:rPr>
  </w:style>
  <w:style w:type="character" w:customStyle="1" w:styleId="Titolo3Carattere">
    <w:name w:val="Titolo 3 Carattere"/>
    <w:basedOn w:val="Carpredefinitoparagrafo"/>
    <w:link w:val="Titolo3"/>
    <w:uiPriority w:val="99"/>
    <w:rsid w:val="00313171"/>
    <w:rPr>
      <w:rFonts w:asciiTheme="majorHAnsi" w:eastAsiaTheme="majorEastAsia" w:hAnsiTheme="majorHAnsi" w:cstheme="majorBidi"/>
      <w:b/>
      <w:bCs/>
      <w:color w:val="5F5F5F"/>
      <w:sz w:val="24"/>
    </w:rPr>
  </w:style>
  <w:style w:type="paragraph" w:customStyle="1" w:styleId="ECHRHeading5">
    <w:name w:val="ECHR_Heading_5"/>
    <w:aliases w:val="Ju_H_i,Head_5"/>
    <w:basedOn w:val="Titolo5"/>
    <w:next w:val="ECHRPara"/>
    <w:uiPriority w:val="23"/>
    <w:qFormat/>
    <w:rsid w:val="0031317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Head_6"/>
    <w:basedOn w:val="Titolo6"/>
    <w:next w:val="ECHRPara"/>
    <w:uiPriority w:val="24"/>
    <w:qFormat/>
    <w:rsid w:val="00313171"/>
    <w:pPr>
      <w:keepNext/>
      <w:keepLines/>
      <w:tabs>
        <w:tab w:val="left" w:pos="1372"/>
      </w:tabs>
      <w:spacing w:before="240" w:after="120" w:line="240" w:lineRule="auto"/>
      <w:ind w:left="1373" w:hanging="335"/>
    </w:pPr>
    <w:rPr>
      <w:b w:val="0"/>
      <w:color w:val="auto"/>
      <w:sz w:val="20"/>
    </w:rPr>
  </w:style>
  <w:style w:type="character" w:customStyle="1" w:styleId="Titolo4Carattere">
    <w:name w:val="Titolo 4 Carattere"/>
    <w:basedOn w:val="Carpredefinitoparagrafo"/>
    <w:link w:val="Titolo4"/>
    <w:uiPriority w:val="99"/>
    <w:rsid w:val="00313171"/>
    <w:rPr>
      <w:rFonts w:asciiTheme="majorHAnsi" w:eastAsiaTheme="majorEastAsia" w:hAnsiTheme="majorHAnsi" w:cstheme="majorBidi"/>
      <w:b/>
      <w:bCs/>
      <w:i/>
      <w:iCs/>
      <w:color w:val="777777"/>
      <w:sz w:val="24"/>
    </w:rPr>
  </w:style>
  <w:style w:type="paragraph" w:customStyle="1" w:styleId="ECHRHeading7">
    <w:name w:val="ECHR_Heading_7"/>
    <w:aliases w:val="Ju_H_–,Head_7"/>
    <w:basedOn w:val="Titolo7"/>
    <w:next w:val="ECHRPara"/>
    <w:uiPriority w:val="25"/>
    <w:qFormat/>
    <w:rsid w:val="00313171"/>
    <w:pPr>
      <w:keepNext/>
      <w:keepLines/>
      <w:spacing w:before="240" w:after="120"/>
      <w:ind w:left="1236"/>
    </w:pPr>
    <w:rPr>
      <w:sz w:val="20"/>
    </w:rPr>
  </w:style>
  <w:style w:type="character" w:customStyle="1" w:styleId="Titolo5Carattere">
    <w:name w:val="Titolo 5 Carattere"/>
    <w:basedOn w:val="Carpredefinitoparagrafo"/>
    <w:link w:val="Titolo5"/>
    <w:uiPriority w:val="99"/>
    <w:rsid w:val="00313171"/>
    <w:rPr>
      <w:rFonts w:asciiTheme="majorHAnsi" w:eastAsiaTheme="majorEastAsia" w:hAnsiTheme="majorHAnsi" w:cstheme="majorBidi"/>
      <w:b/>
      <w:bCs/>
      <w:color w:val="808080"/>
      <w:sz w:val="24"/>
    </w:rPr>
  </w:style>
  <w:style w:type="paragraph" w:customStyle="1" w:styleId="ECHRHeaderDate">
    <w:name w:val="ECHR_Header_Date"/>
    <w:aliases w:val="Ref_Date"/>
    <w:basedOn w:val="Normale"/>
    <w:uiPriority w:val="32"/>
    <w:qFormat/>
    <w:rsid w:val="00E07DA1"/>
    <w:pPr>
      <w:jc w:val="right"/>
    </w:pPr>
    <w:rPr>
      <w:sz w:val="20"/>
    </w:rPr>
  </w:style>
  <w:style w:type="paragraph" w:customStyle="1" w:styleId="ECHRHeaderRefIt">
    <w:name w:val="ECHR_Header_Ref_It"/>
    <w:aliases w:val="Ref_Ital"/>
    <w:basedOn w:val="Normale"/>
    <w:next w:val="ECHRHeaderDate"/>
    <w:uiPriority w:val="31"/>
    <w:qFormat/>
    <w:rsid w:val="00E07DA1"/>
    <w:pPr>
      <w:jc w:val="right"/>
    </w:pPr>
    <w:rPr>
      <w:i/>
      <w:sz w:val="20"/>
    </w:rPr>
  </w:style>
  <w:style w:type="character" w:styleId="Enfasidelicata">
    <w:name w:val="Subtle Emphasis"/>
    <w:uiPriority w:val="99"/>
    <w:qFormat/>
    <w:rsid w:val="00313171"/>
    <w:rPr>
      <w:i/>
      <w:iCs/>
    </w:rPr>
  </w:style>
  <w:style w:type="character" w:customStyle="1" w:styleId="ECHRRed">
    <w:name w:val="ECHR_Red"/>
    <w:aliases w:val="Red"/>
    <w:basedOn w:val="Carpredefinitoparagrafo"/>
    <w:uiPriority w:val="13"/>
    <w:qFormat/>
    <w:rsid w:val="00941747"/>
    <w:rPr>
      <w:color w:val="C00000" w:themeColor="accent2"/>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link w:val="JuHHeadChar"/>
    <w:uiPriority w:val="18"/>
    <w:qFormat/>
    <w:rsid w:val="00313171"/>
    <w:pPr>
      <w:keepNext/>
      <w:keepLines/>
      <w:spacing w:before="720" w:after="240"/>
      <w:outlineLvl w:val="0"/>
    </w:pPr>
    <w:rPr>
      <w:rFonts w:asciiTheme="majorHAnsi" w:hAnsiTheme="majorHAnsi"/>
      <w:sz w:val="28"/>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Dec_H_Case"/>
    <w:basedOn w:val="Normale"/>
    <w:next w:val="ECHRPara"/>
    <w:link w:val="ECHRTitleCentre2Char"/>
    <w:uiPriority w:val="8"/>
    <w:qFormat/>
    <w:rsid w:val="00313171"/>
    <w:pPr>
      <w:spacing w:after="240"/>
      <w:jc w:val="center"/>
      <w:outlineLvl w:val="0"/>
    </w:pPr>
    <w:rPr>
      <w:rFonts w:asciiTheme="majorHAnsi" w:hAnsiTheme="majorHAnsi"/>
    </w:rPr>
  </w:style>
  <w:style w:type="character" w:styleId="Enfasicorsivo">
    <w:name w:val="Emphasis"/>
    <w:uiPriority w:val="99"/>
    <w:qFormat/>
    <w:rsid w:val="00313171"/>
    <w:rPr>
      <w:b/>
      <w:bCs/>
      <w:i/>
      <w:iCs/>
      <w:spacing w:val="10"/>
      <w:bdr w:val="none" w:sz="0" w:space="0" w:color="auto"/>
      <w:shd w:val="clear" w:color="auto" w:fill="auto"/>
    </w:rPr>
  </w:style>
  <w:style w:type="paragraph" w:styleId="Pidipagina">
    <w:name w:val="footer"/>
    <w:basedOn w:val="Normale"/>
    <w:link w:val="PidipaginaCarattere"/>
    <w:uiPriority w:val="57"/>
    <w:rsid w:val="0031317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rsid w:val="00313171"/>
    <w:rPr>
      <w:sz w:val="24"/>
    </w:rPr>
  </w:style>
  <w:style w:type="character" w:styleId="Rimandonotaapidipagina">
    <w:name w:val="footnote reference"/>
    <w:basedOn w:val="Carpredefinitoparagrafo"/>
    <w:uiPriority w:val="99"/>
    <w:rsid w:val="00313171"/>
    <w:rPr>
      <w:vertAlign w:val="superscript"/>
    </w:rPr>
  </w:style>
  <w:style w:type="paragraph" w:styleId="Testonotaapidipagina">
    <w:name w:val="footnote text"/>
    <w:basedOn w:val="Normale"/>
    <w:link w:val="TestonotaapidipaginaCarattere"/>
    <w:uiPriority w:val="99"/>
    <w:semiHidden/>
    <w:rsid w:val="00313171"/>
    <w:rPr>
      <w:sz w:val="20"/>
      <w:szCs w:val="20"/>
    </w:rPr>
  </w:style>
  <w:style w:type="character" w:customStyle="1" w:styleId="TestonotaapidipaginaCarattere">
    <w:name w:val="Testo nota a piè di pagina Carattere"/>
    <w:basedOn w:val="Carpredefinitoparagrafo"/>
    <w:link w:val="Testonotaapidipagina"/>
    <w:uiPriority w:val="99"/>
    <w:semiHidden/>
    <w:rsid w:val="00313171"/>
    <w:rPr>
      <w:rFonts w:eastAsiaTheme="minorEastAsia"/>
      <w:sz w:val="20"/>
      <w:szCs w:val="20"/>
    </w:rPr>
  </w:style>
  <w:style w:type="character" w:customStyle="1" w:styleId="Titolo6Carattere">
    <w:name w:val="Titolo 6 Carattere"/>
    <w:basedOn w:val="Carpredefinitoparagrafo"/>
    <w:link w:val="Titolo6"/>
    <w:uiPriority w:val="99"/>
    <w:rsid w:val="00313171"/>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rsid w:val="00313171"/>
    <w:rPr>
      <w:rFonts w:asciiTheme="majorHAnsi" w:eastAsiaTheme="majorEastAsia" w:hAnsiTheme="majorHAnsi" w:cstheme="majorBidi"/>
      <w:i/>
      <w:iCs/>
      <w:sz w:val="24"/>
      <w:lang w:bidi="en-US"/>
    </w:rPr>
  </w:style>
  <w:style w:type="character" w:customStyle="1" w:styleId="Titolo8Carattere">
    <w:name w:val="Titolo 8 Carattere"/>
    <w:basedOn w:val="Carpredefinitoparagrafo"/>
    <w:link w:val="Titolo8"/>
    <w:uiPriority w:val="99"/>
    <w:rsid w:val="0031317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rsid w:val="0031317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313171"/>
    <w:rPr>
      <w:color w:val="0072BC" w:themeColor="hyperlink"/>
      <w:u w:val="single"/>
    </w:rPr>
  </w:style>
  <w:style w:type="character" w:styleId="Enfasiintensa">
    <w:name w:val="Intense Emphasis"/>
    <w:uiPriority w:val="99"/>
    <w:qFormat/>
    <w:rsid w:val="00313171"/>
    <w:rPr>
      <w:b/>
      <w:bCs/>
    </w:rPr>
  </w:style>
  <w:style w:type="paragraph" w:styleId="Citazioneintensa">
    <w:name w:val="Intense Quote"/>
    <w:basedOn w:val="Normale"/>
    <w:next w:val="Normale"/>
    <w:link w:val="CitazioneintensaCarattere"/>
    <w:uiPriority w:val="99"/>
    <w:qFormat/>
    <w:rsid w:val="0031317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rsid w:val="00313171"/>
    <w:rPr>
      <w:rFonts w:eastAsiaTheme="minorEastAsia"/>
      <w:b/>
      <w:bCs/>
      <w:i/>
      <w:iCs/>
      <w:sz w:val="24"/>
      <w:lang w:bidi="en-US"/>
    </w:rPr>
  </w:style>
  <w:style w:type="character" w:styleId="Riferimentointenso">
    <w:name w:val="Intense Reference"/>
    <w:uiPriority w:val="99"/>
    <w:qFormat/>
    <w:rsid w:val="00313171"/>
    <w:rPr>
      <w:smallCaps/>
      <w:spacing w:val="5"/>
      <w:u w:val="single"/>
    </w:rPr>
  </w:style>
  <w:style w:type="paragraph" w:styleId="Paragrafoelenco">
    <w:name w:val="List Paragraph"/>
    <w:basedOn w:val="Normale"/>
    <w:uiPriority w:val="99"/>
    <w:qFormat/>
    <w:rsid w:val="0031317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qFormat/>
    <w:rsid w:val="00313171"/>
    <w:pPr>
      <w:spacing w:before="200"/>
      <w:ind w:left="360" w:right="360"/>
    </w:pPr>
    <w:rPr>
      <w:i/>
      <w:iCs/>
      <w:lang w:bidi="en-US"/>
    </w:rPr>
  </w:style>
  <w:style w:type="character" w:customStyle="1" w:styleId="CitazioneCarattere">
    <w:name w:val="Citazione Carattere"/>
    <w:basedOn w:val="Carpredefinitoparagrafo"/>
    <w:link w:val="Citazione"/>
    <w:uiPriority w:val="99"/>
    <w:rsid w:val="00313171"/>
    <w:rPr>
      <w:rFonts w:eastAsiaTheme="minorEastAsia"/>
      <w:i/>
      <w:iCs/>
      <w:sz w:val="24"/>
      <w:lang w:bidi="en-US"/>
    </w:rPr>
  </w:style>
  <w:style w:type="character" w:styleId="Riferimentodelicato">
    <w:name w:val="Subtle Reference"/>
    <w:uiPriority w:val="99"/>
    <w:qFormat/>
    <w:rsid w:val="00313171"/>
    <w:rPr>
      <w:smallCaps/>
    </w:rPr>
  </w:style>
  <w:style w:type="table" w:styleId="Grigliatabella">
    <w:name w:val="Table Grid"/>
    <w:basedOn w:val="Tabellanormale"/>
    <w:uiPriority w:val="59"/>
    <w:rsid w:val="003131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rsid w:val="00313171"/>
    <w:pPr>
      <w:spacing w:before="120" w:after="60"/>
      <w:ind w:left="340" w:right="340" w:hanging="340"/>
    </w:pPr>
    <w:rPr>
      <w:color w:val="0D0D0D" w:themeColor="text1" w:themeTint="F2"/>
    </w:rPr>
  </w:style>
  <w:style w:type="paragraph" w:styleId="Sommario2">
    <w:name w:val="toc 2"/>
    <w:basedOn w:val="Normale"/>
    <w:next w:val="Normale"/>
    <w:autoRedefine/>
    <w:uiPriority w:val="99"/>
    <w:rsid w:val="00313171"/>
    <w:pPr>
      <w:spacing w:after="60"/>
      <w:ind w:left="680" w:right="340" w:hanging="340"/>
    </w:pPr>
  </w:style>
  <w:style w:type="paragraph" w:styleId="Sommario3">
    <w:name w:val="toc 3"/>
    <w:basedOn w:val="Normale"/>
    <w:next w:val="Normale"/>
    <w:autoRedefine/>
    <w:uiPriority w:val="99"/>
    <w:rsid w:val="00313171"/>
    <w:pPr>
      <w:spacing w:after="60"/>
      <w:ind w:left="1020" w:right="340" w:hanging="340"/>
    </w:pPr>
  </w:style>
  <w:style w:type="paragraph" w:styleId="Sommario4">
    <w:name w:val="toc 4"/>
    <w:basedOn w:val="Normale"/>
    <w:next w:val="Normale"/>
    <w:autoRedefine/>
    <w:uiPriority w:val="99"/>
    <w:rsid w:val="00313171"/>
    <w:pPr>
      <w:tabs>
        <w:tab w:val="right" w:leader="dot" w:pos="9017"/>
      </w:tabs>
      <w:spacing w:after="60"/>
      <w:ind w:left="1361" w:right="340" w:hanging="340"/>
    </w:pPr>
  </w:style>
  <w:style w:type="paragraph" w:styleId="Sommario5">
    <w:name w:val="toc 5"/>
    <w:basedOn w:val="Normale"/>
    <w:next w:val="Normale"/>
    <w:autoRedefine/>
    <w:uiPriority w:val="99"/>
    <w:rsid w:val="00313171"/>
    <w:pPr>
      <w:spacing w:after="60"/>
      <w:ind w:left="1701" w:right="340" w:hanging="340"/>
    </w:pPr>
  </w:style>
  <w:style w:type="paragraph" w:styleId="Titolosommario">
    <w:name w:val="TOC Heading"/>
    <w:basedOn w:val="Titolo1"/>
    <w:next w:val="Normale"/>
    <w:uiPriority w:val="99"/>
    <w:semiHidden/>
    <w:qFormat/>
    <w:rsid w:val="00313171"/>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rsid w:val="00313171"/>
    <w:pPr>
      <w:spacing w:before="120"/>
    </w:pPr>
    <w:rPr>
      <w:rFonts w:asciiTheme="majorHAnsi" w:eastAsiaTheme="majorEastAsia" w:hAnsiTheme="majorHAnsi" w:cstheme="majorBidi"/>
      <w:b/>
      <w:bCs/>
      <w:color w:val="474747" w:themeColor="accent3" w:themeShade="BF"/>
      <w:szCs w:val="24"/>
    </w:rPr>
  </w:style>
  <w:style w:type="paragraph" w:customStyle="1" w:styleId="ECHRList">
    <w:name w:val="ECHR_List"/>
    <w:aliases w:val="List_Simple"/>
    <w:basedOn w:val="Normale"/>
    <w:uiPriority w:val="10"/>
    <w:qFormat/>
    <w:rsid w:val="002D24BB"/>
    <w:pPr>
      <w:numPr>
        <w:numId w:val="1"/>
      </w:numPr>
    </w:pPr>
  </w:style>
  <w:style w:type="paragraph" w:customStyle="1" w:styleId="ECHRCoverTitle4">
    <w:name w:val="ECHR_Cover_Title_4"/>
    <w:aliases w:val="Cover_4"/>
    <w:basedOn w:val="Normale"/>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Ju_Quot,Para_Quote"/>
    <w:basedOn w:val="Normale"/>
    <w:uiPriority w:val="14"/>
    <w:qFormat/>
    <w:rsid w:val="00313171"/>
    <w:pPr>
      <w:spacing w:before="120" w:after="120"/>
      <w:ind w:left="425" w:firstLine="142"/>
    </w:pPr>
    <w:rPr>
      <w:sz w:val="20"/>
    </w:rPr>
  </w:style>
  <w:style w:type="paragraph" w:customStyle="1" w:styleId="ECHRPara">
    <w:name w:val="ECHR_Para"/>
    <w:aliases w:val="Ju_Para"/>
    <w:basedOn w:val="Normale"/>
    <w:link w:val="ECHRParaChar"/>
    <w:uiPriority w:val="12"/>
    <w:qFormat/>
    <w:rsid w:val="00313171"/>
    <w:pPr>
      <w:ind w:firstLine="284"/>
    </w:pPr>
  </w:style>
  <w:style w:type="paragraph" w:customStyle="1" w:styleId="ECHRTitleCentre1">
    <w:name w:val="ECHR_Title_Centre_1"/>
    <w:aliases w:val="Opi_H_Head,Title_C_1"/>
    <w:basedOn w:val="Normale"/>
    <w:next w:val="OpiPara"/>
    <w:uiPriority w:val="39"/>
    <w:qFormat/>
    <w:rsid w:val="00313171"/>
    <w:pPr>
      <w:keepNext/>
      <w:keepLines/>
      <w:spacing w:after="240"/>
      <w:jc w:val="center"/>
      <w:outlineLvl w:val="0"/>
    </w:pPr>
    <w:rPr>
      <w:rFonts w:asciiTheme="majorHAnsi" w:hAnsiTheme="majorHAnsi"/>
      <w:sz w:val="28"/>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e"/>
    <w:uiPriority w:val="38"/>
    <w:rsid w:val="00463926"/>
    <w:rPr>
      <w:sz w:val="4"/>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1317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Intestazione"/>
    <w:uiPriority w:val="39"/>
    <w:rsid w:val="0039364F"/>
    <w:pPr>
      <w:tabs>
        <w:tab w:val="clear" w:pos="4536"/>
        <w:tab w:val="center" w:pos="6787"/>
        <w:tab w:val="right" w:pos="14640"/>
      </w:tabs>
    </w:pPr>
  </w:style>
  <w:style w:type="table" w:customStyle="1" w:styleId="ECHRHeaderTable">
    <w:name w:val="ECHR_Header_Table"/>
    <w:basedOn w:val="Tabellanormale"/>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e"/>
    <w:next w:val="ECHRParaSpaced"/>
    <w:uiPriority w:val="15"/>
    <w:rsid w:val="009D5119"/>
    <w:pPr>
      <w:pBdr>
        <w:bottom w:val="single" w:sz="12" w:space="1" w:color="949494" w:themeColor="text2" w:themeShade="BF"/>
      </w:pBdr>
      <w:spacing w:after="120"/>
    </w:pPr>
    <w:rPr>
      <w:sz w:val="12"/>
    </w:rPr>
  </w:style>
  <w:style w:type="paragraph" w:customStyle="1" w:styleId="JuAppQuestion">
    <w:name w:val="Ju_App_Question"/>
    <w:basedOn w:val="Normale"/>
    <w:uiPriority w:val="5"/>
    <w:qFormat/>
    <w:rsid w:val="00313171"/>
    <w:pPr>
      <w:numPr>
        <w:numId w:val="9"/>
      </w:numPr>
      <w:jc w:val="left"/>
    </w:pPr>
    <w:rPr>
      <w:b/>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313171"/>
    <w:pPr>
      <w:tabs>
        <w:tab w:val="left" w:pos="567"/>
        <w:tab w:val="left" w:pos="1134"/>
      </w:tabs>
      <w:jc w:val="left"/>
    </w:pPr>
  </w:style>
  <w:style w:type="table" w:customStyle="1" w:styleId="ECHRHeaderTableReduced">
    <w:name w:val="ECHR_Header_Table_Reduced"/>
    <w:basedOn w:val="Tabellanormale"/>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style>
  <w:style w:type="paragraph" w:customStyle="1" w:styleId="ECHRTitleTOC1">
    <w:name w:val="ECHR_Title_TOC_1"/>
    <w:aliases w:val="Title_L_TOC"/>
    <w:basedOn w:val="ECHRTitle1"/>
    <w:next w:val="ECHRHeading1"/>
    <w:uiPriority w:val="19"/>
    <w:qFormat/>
    <w:rsid w:val="00F74BED"/>
  </w:style>
  <w:style w:type="paragraph" w:customStyle="1" w:styleId="JuParaSub">
    <w:name w:val="Ju_Para_Sub"/>
    <w:basedOn w:val="ECHRPara"/>
    <w:uiPriority w:val="13"/>
    <w:qFormat/>
    <w:rsid w:val="00313171"/>
    <w:pPr>
      <w:ind w:left="284"/>
    </w:pPr>
  </w:style>
  <w:style w:type="character" w:styleId="Testosegnaposto">
    <w:name w:val="Placeholder Text"/>
    <w:basedOn w:val="Carpredefinitoparagrafo"/>
    <w:uiPriority w:val="99"/>
    <w:semiHidden/>
    <w:rsid w:val="00B577BB"/>
    <w:rPr>
      <w:color w:val="auto"/>
      <w:bdr w:val="none" w:sz="0" w:space="0" w:color="auto"/>
      <w:shd w:val="clear" w:color="auto" w:fill="BEE5FF" w:themeFill="background1" w:themeFillTint="33"/>
    </w:rPr>
  </w:style>
  <w:style w:type="paragraph" w:customStyle="1" w:styleId="OpiPara">
    <w:name w:val="Opi_Para"/>
    <w:basedOn w:val="ECHRPara"/>
    <w:uiPriority w:val="46"/>
    <w:semiHidden/>
    <w:qFormat/>
    <w:rsid w:val="00313171"/>
  </w:style>
  <w:style w:type="paragraph" w:customStyle="1" w:styleId="OpiParaSub">
    <w:name w:val="Opi_Para_Sub"/>
    <w:basedOn w:val="JuParaSub"/>
    <w:uiPriority w:val="47"/>
    <w:semiHidden/>
    <w:qFormat/>
    <w:rsid w:val="00313171"/>
  </w:style>
  <w:style w:type="paragraph" w:customStyle="1" w:styleId="OpiQuot">
    <w:name w:val="Opi_Quot"/>
    <w:basedOn w:val="ECHRParaQuote"/>
    <w:uiPriority w:val="48"/>
    <w:semiHidden/>
    <w:qFormat/>
    <w:rsid w:val="00313171"/>
  </w:style>
  <w:style w:type="paragraph" w:customStyle="1" w:styleId="JuQuotSub">
    <w:name w:val="Ju_Quot_Sub"/>
    <w:basedOn w:val="ECHRParaQuote"/>
    <w:uiPriority w:val="15"/>
    <w:qFormat/>
    <w:rsid w:val="00313171"/>
    <w:pPr>
      <w:ind w:left="567"/>
    </w:pPr>
  </w:style>
  <w:style w:type="paragraph" w:customStyle="1" w:styleId="OpiQuotSub">
    <w:name w:val="Opi_Quot_Sub"/>
    <w:basedOn w:val="JuQuotSub"/>
    <w:uiPriority w:val="49"/>
    <w:semiHidden/>
    <w:qFormat/>
    <w:rsid w:val="00313171"/>
  </w:style>
  <w:style w:type="paragraph" w:customStyle="1" w:styleId="JuSigned">
    <w:name w:val="Ju_Signed"/>
    <w:basedOn w:val="Normale"/>
    <w:next w:val="JuParaLast"/>
    <w:uiPriority w:val="32"/>
    <w:qFormat/>
    <w:rsid w:val="00313171"/>
    <w:pPr>
      <w:tabs>
        <w:tab w:val="center" w:pos="851"/>
        <w:tab w:val="center" w:pos="6407"/>
      </w:tabs>
      <w:spacing w:before="720"/>
      <w:jc w:val="left"/>
    </w:pPr>
  </w:style>
  <w:style w:type="paragraph" w:customStyle="1" w:styleId="JuTitle">
    <w:name w:val="Ju_Title"/>
    <w:basedOn w:val="Normale"/>
    <w:next w:val="ECHRPara"/>
    <w:uiPriority w:val="3"/>
    <w:qFormat/>
    <w:rsid w:val="00313171"/>
    <w:pPr>
      <w:spacing w:before="720" w:after="240"/>
      <w:jc w:val="center"/>
      <w:outlineLvl w:val="0"/>
    </w:pPr>
    <w:rPr>
      <w:rFonts w:asciiTheme="majorHAnsi" w:hAnsiTheme="majorHAnsi"/>
      <w:b/>
      <w:caps/>
    </w:rPr>
  </w:style>
  <w:style w:type="paragraph" w:customStyle="1" w:styleId="JuInitialled">
    <w:name w:val="Ju_Initialled"/>
    <w:basedOn w:val="Normale"/>
    <w:uiPriority w:val="31"/>
    <w:qFormat/>
    <w:rsid w:val="00313171"/>
    <w:pPr>
      <w:tabs>
        <w:tab w:val="center" w:pos="6407"/>
      </w:tabs>
      <w:spacing w:before="720"/>
      <w:jc w:val="right"/>
    </w:pPr>
  </w:style>
  <w:style w:type="paragraph" w:customStyle="1" w:styleId="OpiHA">
    <w:name w:val="Opi_H_A"/>
    <w:basedOn w:val="ECHRHeading1"/>
    <w:next w:val="OpiPara"/>
    <w:uiPriority w:val="41"/>
    <w:semiHidden/>
    <w:qFormat/>
    <w:rsid w:val="00313171"/>
    <w:pPr>
      <w:tabs>
        <w:tab w:val="clear" w:pos="357"/>
      </w:tabs>
      <w:outlineLvl w:val="1"/>
    </w:pPr>
    <w:rPr>
      <w:b/>
    </w:rPr>
  </w:style>
  <w:style w:type="character" w:customStyle="1" w:styleId="JUNAMES">
    <w:name w:val="JU_NAMES"/>
    <w:uiPriority w:val="17"/>
    <w:qFormat/>
    <w:rsid w:val="00313171"/>
    <w:rPr>
      <w:caps w:val="0"/>
      <w:smallCaps/>
    </w:rPr>
  </w:style>
  <w:style w:type="character" w:customStyle="1" w:styleId="JuITMark">
    <w:name w:val="Ju_ITMark"/>
    <w:basedOn w:val="Carpredefinitoparagrafo"/>
    <w:uiPriority w:val="38"/>
    <w:qFormat/>
    <w:rsid w:val="00313171"/>
    <w:rPr>
      <w:vanish w:val="0"/>
      <w:color w:val="auto"/>
      <w:sz w:val="14"/>
    </w:rPr>
  </w:style>
  <w:style w:type="paragraph" w:customStyle="1" w:styleId="JuList">
    <w:name w:val="Ju_List"/>
    <w:basedOn w:val="Normale"/>
    <w:uiPriority w:val="28"/>
    <w:qFormat/>
    <w:rsid w:val="00313171"/>
    <w:pPr>
      <w:ind w:left="340" w:hanging="340"/>
    </w:pPr>
  </w:style>
  <w:style w:type="table" w:customStyle="1" w:styleId="ECHRHeaderTable1">
    <w:name w:val="ECHR_Header_Table1"/>
    <w:basedOn w:val="Tabellanormale"/>
    <w:uiPriority w:val="99"/>
    <w:rsid w:val="00C55238"/>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HeaderTableReduced1">
    <w:name w:val="ECHR_Header_Table_Reduced1"/>
    <w:basedOn w:val="Tabellanormale"/>
    <w:uiPriority w:val="99"/>
    <w:rsid w:val="00C55238"/>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a">
    <w:name w:val="Ju_List_a"/>
    <w:basedOn w:val="JuList"/>
    <w:uiPriority w:val="28"/>
    <w:qFormat/>
    <w:rsid w:val="00313171"/>
    <w:pPr>
      <w:ind w:left="346" w:firstLine="0"/>
    </w:pPr>
  </w:style>
  <w:style w:type="paragraph" w:customStyle="1" w:styleId="JuParaLast">
    <w:name w:val="Ju_Para_Last"/>
    <w:basedOn w:val="Normale"/>
    <w:next w:val="ECHRPara"/>
    <w:uiPriority w:val="30"/>
    <w:qFormat/>
    <w:rsid w:val="00313171"/>
    <w:pPr>
      <w:keepNext/>
      <w:keepLines/>
      <w:spacing w:before="240"/>
      <w:ind w:firstLine="284"/>
    </w:pPr>
  </w:style>
  <w:style w:type="paragraph" w:customStyle="1" w:styleId="JuListi">
    <w:name w:val="Ju_List_i"/>
    <w:basedOn w:val="Normale"/>
    <w:next w:val="JuLista"/>
    <w:uiPriority w:val="28"/>
    <w:qFormat/>
    <w:rsid w:val="00313171"/>
    <w:pPr>
      <w:ind w:left="794"/>
    </w:pPr>
  </w:style>
  <w:style w:type="paragraph" w:customStyle="1" w:styleId="OpiTranslation">
    <w:name w:val="Opi_Translation"/>
    <w:basedOn w:val="Normale"/>
    <w:next w:val="OpiPara"/>
    <w:uiPriority w:val="40"/>
    <w:semiHidden/>
    <w:qFormat/>
    <w:rsid w:val="00313171"/>
    <w:pPr>
      <w:jc w:val="center"/>
      <w:outlineLvl w:val="0"/>
    </w:pPr>
    <w:rPr>
      <w:i/>
    </w:rPr>
  </w:style>
  <w:style w:type="paragraph" w:customStyle="1" w:styleId="DecHTitle">
    <w:name w:val="Dec_H_Title"/>
    <w:basedOn w:val="ECHRTitleCentre1"/>
    <w:uiPriority w:val="7"/>
    <w:qFormat/>
    <w:rsid w:val="00313171"/>
  </w:style>
  <w:style w:type="character" w:styleId="Numeropagina">
    <w:name w:val="page number"/>
    <w:uiPriority w:val="99"/>
    <w:qFormat/>
    <w:rsid w:val="00C55238"/>
    <w:rPr>
      <w:rFonts w:ascii="Times New Roman" w:hAnsi="Times New Roman" w:cs="Times New Roman"/>
      <w:sz w:val="18"/>
    </w:rPr>
  </w:style>
  <w:style w:type="paragraph" w:customStyle="1" w:styleId="JuCourt">
    <w:name w:val="Ju_Court"/>
    <w:basedOn w:val="Normale"/>
    <w:next w:val="Normale"/>
    <w:uiPriority w:val="16"/>
    <w:qFormat/>
    <w:rsid w:val="00313171"/>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qFormat/>
    <w:rsid w:val="00313171"/>
    <w:pPr>
      <w:spacing w:before="240"/>
      <w:ind w:left="284"/>
    </w:pPr>
  </w:style>
  <w:style w:type="character" w:styleId="Rimandocommento">
    <w:name w:val="annotation reference"/>
    <w:uiPriority w:val="99"/>
    <w:semiHidden/>
    <w:rsid w:val="00C55238"/>
    <w:rPr>
      <w:sz w:val="16"/>
    </w:rPr>
  </w:style>
  <w:style w:type="paragraph" w:styleId="Bibliografia">
    <w:name w:val="Bibliography"/>
    <w:basedOn w:val="Normale"/>
    <w:next w:val="Normale"/>
    <w:uiPriority w:val="99"/>
    <w:semiHidden/>
    <w:rsid w:val="009D5119"/>
  </w:style>
  <w:style w:type="paragraph" w:styleId="Didascalia">
    <w:name w:val="caption"/>
    <w:basedOn w:val="Normale"/>
    <w:next w:val="Normale"/>
    <w:uiPriority w:val="99"/>
    <w:semiHidden/>
    <w:qFormat/>
    <w:rsid w:val="009D5119"/>
    <w:pPr>
      <w:spacing w:after="200"/>
    </w:pPr>
    <w:rPr>
      <w:b/>
      <w:bCs/>
      <w:color w:val="0072BC" w:themeColor="accent1"/>
      <w:sz w:val="18"/>
      <w:szCs w:val="18"/>
    </w:rPr>
  </w:style>
  <w:style w:type="character" w:styleId="Rimandonotadichiusura">
    <w:name w:val="endnote reference"/>
    <w:rsid w:val="00C55238"/>
    <w:rPr>
      <w:rFonts w:ascii="Times New Roman" w:hAnsi="Times New Roman" w:cs="Times New Roman"/>
      <w:vertAlign w:val="superscript"/>
    </w:rPr>
  </w:style>
  <w:style w:type="paragraph" w:styleId="Indice2">
    <w:name w:val="index 2"/>
    <w:basedOn w:val="Normale"/>
    <w:next w:val="Normale"/>
    <w:autoRedefine/>
    <w:rsid w:val="009D5119"/>
    <w:pPr>
      <w:ind w:left="480" w:hanging="240"/>
    </w:pPr>
  </w:style>
  <w:style w:type="paragraph" w:styleId="Indice3">
    <w:name w:val="index 3"/>
    <w:basedOn w:val="Normale"/>
    <w:next w:val="Normale"/>
    <w:autoRedefine/>
    <w:uiPriority w:val="99"/>
    <w:rsid w:val="009D5119"/>
    <w:pPr>
      <w:ind w:left="720" w:hanging="240"/>
    </w:pPr>
  </w:style>
  <w:style w:type="character" w:styleId="Collegamentovisitato">
    <w:name w:val="FollowedHyperlink"/>
    <w:uiPriority w:val="99"/>
    <w:rsid w:val="00C55238"/>
    <w:rPr>
      <w:rFonts w:ascii="Times New Roman" w:hAnsi="Times New Roman" w:cs="Times New Roman"/>
      <w:color w:val="800080"/>
      <w:u w:val="single"/>
    </w:rPr>
  </w:style>
  <w:style w:type="paragraph" w:styleId="Indice4">
    <w:name w:val="index 4"/>
    <w:basedOn w:val="Normale"/>
    <w:next w:val="Normale"/>
    <w:autoRedefine/>
    <w:uiPriority w:val="99"/>
    <w:rsid w:val="009D5119"/>
    <w:pPr>
      <w:ind w:left="960" w:hanging="240"/>
    </w:pPr>
  </w:style>
  <w:style w:type="paragraph" w:styleId="Indice5">
    <w:name w:val="index 5"/>
    <w:basedOn w:val="Normale"/>
    <w:next w:val="Normale"/>
    <w:autoRedefine/>
    <w:uiPriority w:val="99"/>
    <w:rsid w:val="009D5119"/>
    <w:pPr>
      <w:ind w:left="1200" w:hanging="240"/>
    </w:pPr>
  </w:style>
  <w:style w:type="paragraph" w:styleId="Indice6">
    <w:name w:val="index 6"/>
    <w:basedOn w:val="Normale"/>
    <w:next w:val="Normale"/>
    <w:autoRedefine/>
    <w:rsid w:val="009D5119"/>
    <w:pPr>
      <w:ind w:left="1440" w:hanging="240"/>
    </w:pPr>
  </w:style>
  <w:style w:type="character" w:customStyle="1" w:styleId="SoggettocommentoCarattere">
    <w:name w:val="Soggetto commento Carattere"/>
    <w:basedOn w:val="Carpredefinitoparagrafo"/>
    <w:link w:val="Soggettocommento"/>
    <w:rsid w:val="009D5119"/>
    <w:rPr>
      <w:rFonts w:eastAsia="Times New Roman"/>
      <w:b/>
      <w:bCs/>
      <w:sz w:val="20"/>
    </w:rPr>
  </w:style>
  <w:style w:type="paragraph" w:styleId="Indice7">
    <w:name w:val="index 7"/>
    <w:basedOn w:val="Normale"/>
    <w:next w:val="Normale"/>
    <w:autoRedefine/>
    <w:uiPriority w:val="99"/>
    <w:rsid w:val="009D5119"/>
    <w:pPr>
      <w:ind w:left="1680" w:hanging="240"/>
    </w:pPr>
  </w:style>
  <w:style w:type="paragraph" w:styleId="Indice8">
    <w:name w:val="index 8"/>
    <w:basedOn w:val="Normale"/>
    <w:next w:val="Normale"/>
    <w:autoRedefine/>
    <w:rsid w:val="009D5119"/>
    <w:pPr>
      <w:ind w:left="1920" w:hanging="240"/>
    </w:pPr>
  </w:style>
  <w:style w:type="paragraph" w:styleId="Indice9">
    <w:name w:val="index 9"/>
    <w:basedOn w:val="Normale"/>
    <w:next w:val="Normale"/>
    <w:autoRedefine/>
    <w:uiPriority w:val="99"/>
    <w:rsid w:val="009D5119"/>
    <w:pPr>
      <w:ind w:left="2160" w:hanging="240"/>
    </w:pPr>
  </w:style>
  <w:style w:type="paragraph" w:styleId="Titoloindice">
    <w:name w:val="index heading"/>
    <w:basedOn w:val="Normale"/>
    <w:next w:val="Indice1"/>
    <w:rsid w:val="009D5119"/>
    <w:rPr>
      <w:rFonts w:asciiTheme="majorHAnsi" w:eastAsiaTheme="majorEastAsia" w:hAnsiTheme="majorHAnsi" w:cstheme="majorBidi"/>
      <w:b/>
      <w:bCs/>
    </w:rPr>
  </w:style>
  <w:style w:type="character" w:customStyle="1" w:styleId="SottotitoloCarattere">
    <w:name w:val="Sottotitolo Carattere"/>
    <w:basedOn w:val="Carpredefinitoparagrafo"/>
    <w:link w:val="Sottotitolo"/>
    <w:uiPriority w:val="99"/>
    <w:rsid w:val="00313171"/>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rsid w:val="00C55238"/>
    <w:pPr>
      <w:numPr>
        <w:numId w:val="6"/>
      </w:numPr>
    </w:pPr>
  </w:style>
  <w:style w:type="numbering" w:styleId="1ai">
    <w:name w:val="Outline List 1"/>
    <w:basedOn w:val="Nessunelenco"/>
    <w:rsid w:val="00C55238"/>
    <w:pPr>
      <w:numPr>
        <w:numId w:val="7"/>
      </w:numPr>
    </w:pPr>
  </w:style>
  <w:style w:type="numbering" w:styleId="ArticoloSezione">
    <w:name w:val="Outline List 3"/>
    <w:basedOn w:val="Nessunelenco"/>
    <w:uiPriority w:val="99"/>
    <w:rsid w:val="00C55238"/>
    <w:pPr>
      <w:numPr>
        <w:numId w:val="8"/>
      </w:numPr>
    </w:pPr>
  </w:style>
  <w:style w:type="paragraph" w:styleId="Indicefonti">
    <w:name w:val="table of authorities"/>
    <w:basedOn w:val="Normale"/>
    <w:next w:val="Normale"/>
    <w:uiPriority w:val="99"/>
    <w:rsid w:val="009D5119"/>
    <w:pPr>
      <w:ind w:left="240" w:hanging="240"/>
    </w:pPr>
  </w:style>
  <w:style w:type="paragraph" w:styleId="Indicedellefigure">
    <w:name w:val="table of figures"/>
    <w:basedOn w:val="Normale"/>
    <w:next w:val="Normale"/>
    <w:uiPriority w:val="99"/>
    <w:rsid w:val="009D5119"/>
  </w:style>
  <w:style w:type="paragraph" w:styleId="Sommario6">
    <w:name w:val="toc 6"/>
    <w:basedOn w:val="Normale"/>
    <w:next w:val="Normale"/>
    <w:autoRedefine/>
    <w:uiPriority w:val="99"/>
    <w:rsid w:val="009D5119"/>
    <w:pPr>
      <w:spacing w:after="100"/>
      <w:ind w:left="1200"/>
    </w:pPr>
  </w:style>
  <w:style w:type="paragraph" w:styleId="Sommario7">
    <w:name w:val="toc 7"/>
    <w:basedOn w:val="Normale"/>
    <w:next w:val="Normale"/>
    <w:autoRedefine/>
    <w:uiPriority w:val="99"/>
    <w:rsid w:val="009D5119"/>
    <w:pPr>
      <w:spacing w:after="100"/>
      <w:ind w:left="1440"/>
    </w:pPr>
  </w:style>
  <w:style w:type="paragraph" w:styleId="Sommario8">
    <w:name w:val="toc 8"/>
    <w:basedOn w:val="Normale"/>
    <w:next w:val="Normale"/>
    <w:autoRedefine/>
    <w:uiPriority w:val="99"/>
    <w:rsid w:val="009D5119"/>
    <w:pPr>
      <w:spacing w:after="100"/>
      <w:ind w:left="1680"/>
    </w:pPr>
  </w:style>
  <w:style w:type="paragraph" w:styleId="Sommario9">
    <w:name w:val="toc 9"/>
    <w:basedOn w:val="Normale"/>
    <w:next w:val="Normale"/>
    <w:autoRedefine/>
    <w:uiPriority w:val="99"/>
    <w:rsid w:val="009D5119"/>
    <w:pPr>
      <w:spacing w:after="100"/>
      <w:ind w:left="1920"/>
    </w:pPr>
  </w:style>
  <w:style w:type="table" w:customStyle="1" w:styleId="ColorfulGrid1">
    <w:name w:val="Colorful Grid1"/>
    <w:basedOn w:val="Tabellanormale"/>
    <w:next w:val="Grigliaacolori"/>
    <w:uiPriority w:val="99"/>
    <w:rsid w:val="00C55238"/>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ellanormale"/>
    <w:next w:val="Grigliaacolori-Colore1"/>
    <w:uiPriority w:val="99"/>
    <w:rsid w:val="00C55238"/>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1">
    <w:name w:val="Colorful Grid - Accent 21"/>
    <w:basedOn w:val="Tabellanormale"/>
    <w:next w:val="Grigliaacolori-Colore2"/>
    <w:uiPriority w:val="99"/>
    <w:rsid w:val="00C55238"/>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1">
    <w:name w:val="Colorful Grid - Accent 31"/>
    <w:basedOn w:val="Tabellanormale"/>
    <w:next w:val="Grigliaacolori-Colore3"/>
    <w:uiPriority w:val="99"/>
    <w:rsid w:val="00C55238"/>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1">
    <w:name w:val="Colorful Grid - Accent 41"/>
    <w:basedOn w:val="Tabellanormale"/>
    <w:next w:val="Grigliaacolori-Colore4"/>
    <w:uiPriority w:val="99"/>
    <w:rsid w:val="00C55238"/>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1">
    <w:name w:val="Colorful Grid - Accent 51"/>
    <w:basedOn w:val="Tabellanormale"/>
    <w:next w:val="Grigliaacolori-Colore5"/>
    <w:uiPriority w:val="99"/>
    <w:rsid w:val="00C55238"/>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1">
    <w:name w:val="Colorful Grid - Accent 61"/>
    <w:basedOn w:val="Tabellanormale"/>
    <w:next w:val="Grigliaacolori-Colore6"/>
    <w:uiPriority w:val="99"/>
    <w:rsid w:val="00C55238"/>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ellanormale"/>
    <w:next w:val="Elencoacolori"/>
    <w:uiPriority w:val="99"/>
    <w:rsid w:val="00C55238"/>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ellanormale"/>
    <w:next w:val="Elencoacolori-Colore1"/>
    <w:uiPriority w:val="99"/>
    <w:rsid w:val="00C55238"/>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1">
    <w:name w:val="Colorful List - Accent 21"/>
    <w:basedOn w:val="Tabellanormale"/>
    <w:next w:val="Elencoacolori-Colore2"/>
    <w:uiPriority w:val="99"/>
    <w:rsid w:val="00C55238"/>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1">
    <w:name w:val="Colorful List - Accent 31"/>
    <w:basedOn w:val="Tabellanormale"/>
    <w:next w:val="Elencoacolori-Colore3"/>
    <w:uiPriority w:val="99"/>
    <w:rsid w:val="00C55238"/>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1">
    <w:name w:val="Colorful List - Accent 41"/>
    <w:basedOn w:val="Tabellanormale"/>
    <w:next w:val="Elencoacolori-Colore4"/>
    <w:uiPriority w:val="99"/>
    <w:rsid w:val="00C55238"/>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1">
    <w:name w:val="Colorful List - Accent 51"/>
    <w:basedOn w:val="Tabellanormale"/>
    <w:next w:val="Elencoacolori-Colore5"/>
    <w:uiPriority w:val="99"/>
    <w:rsid w:val="00C55238"/>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1">
    <w:name w:val="Colorful List - Accent 61"/>
    <w:basedOn w:val="Tabellanormale"/>
    <w:next w:val="Elencoacolori-Colore6"/>
    <w:uiPriority w:val="99"/>
    <w:rsid w:val="00C55238"/>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ellanormale"/>
    <w:next w:val="Sfondoacolori"/>
    <w:uiPriority w:val="99"/>
    <w:rsid w:val="00C55238"/>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ellanormale"/>
    <w:next w:val="Sfondoacolori-Colore1"/>
    <w:uiPriority w:val="99"/>
    <w:rsid w:val="00C55238"/>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1">
    <w:name w:val="Colorful Shading - Accent 21"/>
    <w:basedOn w:val="Tabellanormale"/>
    <w:next w:val="Sfondoacolori-Colore2"/>
    <w:uiPriority w:val="99"/>
    <w:rsid w:val="00C55238"/>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1">
    <w:name w:val="Colorful Shading - Accent 31"/>
    <w:basedOn w:val="Tabellanormale"/>
    <w:next w:val="Sfondoacolori-Colore3"/>
    <w:uiPriority w:val="99"/>
    <w:rsid w:val="00C55238"/>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1">
    <w:name w:val="Colorful Shading - Accent 41"/>
    <w:basedOn w:val="Tabellanormale"/>
    <w:next w:val="Sfondoacolori-Colore4"/>
    <w:uiPriority w:val="99"/>
    <w:rsid w:val="00C55238"/>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1">
    <w:name w:val="Colorful Shading - Accent 51"/>
    <w:basedOn w:val="Tabellanormale"/>
    <w:next w:val="Sfondoacolori-Colore5"/>
    <w:uiPriority w:val="99"/>
    <w:rsid w:val="00C55238"/>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1">
    <w:name w:val="Colorful Shading - Accent 61"/>
    <w:basedOn w:val="Tabellanormale"/>
    <w:next w:val="Sfondoacolori-Colore6"/>
    <w:uiPriority w:val="99"/>
    <w:rsid w:val="00C55238"/>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ellanormale"/>
    <w:next w:val="Elencoscuro"/>
    <w:uiPriority w:val="99"/>
    <w:rsid w:val="00C55238"/>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ellanormale"/>
    <w:next w:val="Elencoscuro-Colore1"/>
    <w:uiPriority w:val="99"/>
    <w:rsid w:val="00C55238"/>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1">
    <w:name w:val="Dark List - Accent 21"/>
    <w:basedOn w:val="Tabellanormale"/>
    <w:next w:val="Elencoscuro-Colore2"/>
    <w:uiPriority w:val="99"/>
    <w:rsid w:val="00C55238"/>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1">
    <w:name w:val="Dark List - Accent 31"/>
    <w:basedOn w:val="Tabellanormale"/>
    <w:next w:val="Elencoscuro-Colore3"/>
    <w:uiPriority w:val="99"/>
    <w:rsid w:val="00C55238"/>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1">
    <w:name w:val="Dark List - Accent 41"/>
    <w:basedOn w:val="Tabellanormale"/>
    <w:next w:val="Elencoscuro-Colore4"/>
    <w:uiPriority w:val="99"/>
    <w:rsid w:val="00C55238"/>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1">
    <w:name w:val="Dark List - Accent 51"/>
    <w:basedOn w:val="Tabellanormale"/>
    <w:next w:val="Elencoscuro-Colore5"/>
    <w:uiPriority w:val="99"/>
    <w:rsid w:val="00C55238"/>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1">
    <w:name w:val="Dark List - Accent 61"/>
    <w:basedOn w:val="Tabellanormale"/>
    <w:next w:val="Elencoscuro-Colore6"/>
    <w:uiPriority w:val="99"/>
    <w:rsid w:val="00C55238"/>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character" w:customStyle="1" w:styleId="DataCarattere">
    <w:name w:val="Data Carattere"/>
    <w:basedOn w:val="Carpredefinitoparagrafo"/>
    <w:link w:val="Data"/>
    <w:uiPriority w:val="99"/>
    <w:rsid w:val="00C55238"/>
    <w:rPr>
      <w:rFonts w:eastAsia="Times New Roman"/>
      <w:sz w:val="24"/>
    </w:rPr>
  </w:style>
  <w:style w:type="character" w:styleId="AcronimoHTML">
    <w:name w:val="HTML Acronym"/>
    <w:basedOn w:val="Carpredefinitoparagrafo"/>
    <w:uiPriority w:val="99"/>
    <w:rsid w:val="00C55238"/>
  </w:style>
  <w:style w:type="character" w:styleId="CitazioneHTML">
    <w:name w:val="HTML Cite"/>
    <w:basedOn w:val="Carpredefinitoparagrafo"/>
    <w:uiPriority w:val="99"/>
    <w:rsid w:val="00C55238"/>
    <w:rPr>
      <w:i/>
      <w:iCs/>
    </w:rPr>
  </w:style>
  <w:style w:type="character" w:styleId="CodiceHTML">
    <w:name w:val="HTML Code"/>
    <w:basedOn w:val="Carpredefinitoparagrafo"/>
    <w:uiPriority w:val="99"/>
    <w:rsid w:val="00C55238"/>
    <w:rPr>
      <w:rFonts w:ascii="Consolas" w:hAnsi="Consolas" w:cs="Consolas"/>
      <w:sz w:val="20"/>
      <w:szCs w:val="20"/>
    </w:rPr>
  </w:style>
  <w:style w:type="character" w:styleId="DefinizioneHTML">
    <w:name w:val="HTML Definition"/>
    <w:basedOn w:val="Carpredefinitoparagrafo"/>
    <w:uiPriority w:val="99"/>
    <w:rsid w:val="00C55238"/>
    <w:rPr>
      <w:i/>
      <w:iCs/>
    </w:rPr>
  </w:style>
  <w:style w:type="character" w:styleId="TastieraHTML">
    <w:name w:val="HTML Keyboard"/>
    <w:basedOn w:val="Carpredefinitoparagrafo"/>
    <w:rsid w:val="00C55238"/>
    <w:rPr>
      <w:rFonts w:ascii="Consolas" w:hAnsi="Consolas" w:cs="Consolas"/>
      <w:sz w:val="20"/>
      <w:szCs w:val="20"/>
    </w:rPr>
  </w:style>
  <w:style w:type="character" w:styleId="EsempioHTML">
    <w:name w:val="HTML Sample"/>
    <w:basedOn w:val="Carpredefinitoparagrafo"/>
    <w:rsid w:val="00C55238"/>
    <w:rPr>
      <w:rFonts w:ascii="Consolas" w:hAnsi="Consolas" w:cs="Consolas"/>
      <w:sz w:val="24"/>
      <w:szCs w:val="24"/>
    </w:rPr>
  </w:style>
  <w:style w:type="character" w:styleId="MacchinadascrivereHTML">
    <w:name w:val="HTML Typewriter"/>
    <w:basedOn w:val="Carpredefinitoparagrafo"/>
    <w:uiPriority w:val="99"/>
    <w:rsid w:val="00C55238"/>
    <w:rPr>
      <w:rFonts w:ascii="Consolas" w:hAnsi="Consolas" w:cs="Consolas"/>
      <w:sz w:val="20"/>
      <w:szCs w:val="20"/>
    </w:rPr>
  </w:style>
  <w:style w:type="character" w:styleId="VariabileHTML">
    <w:name w:val="HTML Variable"/>
    <w:basedOn w:val="Carpredefinitoparagrafo"/>
    <w:rsid w:val="00C55238"/>
    <w:rPr>
      <w:i/>
      <w:iCs/>
    </w:rPr>
  </w:style>
  <w:style w:type="table" w:customStyle="1" w:styleId="LightGrid1">
    <w:name w:val="Light Grid1"/>
    <w:basedOn w:val="Tabellanormale"/>
    <w:next w:val="Grigliachiara"/>
    <w:uiPriority w:val="99"/>
    <w:rsid w:val="00C55238"/>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next w:val="Grigliachiara-Colore1"/>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1">
    <w:name w:val="Light Grid - Accent 21"/>
    <w:basedOn w:val="Tabellanormale"/>
    <w:next w:val="Grigliachiara-Colore2"/>
    <w:uiPriority w:val="99"/>
    <w:rsid w:val="00C55238"/>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1">
    <w:name w:val="Light Grid - Accent 31"/>
    <w:basedOn w:val="Tabellanormale"/>
    <w:next w:val="Grigliachiara-Colore3"/>
    <w:uiPriority w:val="99"/>
    <w:rsid w:val="00C55238"/>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1">
    <w:name w:val="Light Grid - Accent 41"/>
    <w:basedOn w:val="Tabellanormale"/>
    <w:next w:val="Grigliachiara-Colore4"/>
    <w:uiPriority w:val="99"/>
    <w:rsid w:val="00C55238"/>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
    <w:name w:val="Light Grid - Accent 51"/>
    <w:basedOn w:val="Tabellanormale"/>
    <w:next w:val="Grigliachiara-Colore5"/>
    <w:uiPriority w:val="99"/>
    <w:rsid w:val="00C55238"/>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1">
    <w:name w:val="Light Grid - Accent 61"/>
    <w:basedOn w:val="Tabellanormale"/>
    <w:next w:val="Grigliachiara-Colore6"/>
    <w:uiPriority w:val="99"/>
    <w:rsid w:val="00C55238"/>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ellanormale"/>
    <w:next w:val="Elencochiaro"/>
    <w:uiPriority w:val="99"/>
    <w:rsid w:val="00C55238"/>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next w:val="Elencochiaro-Colore1"/>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1">
    <w:name w:val="Light List - Accent 21"/>
    <w:basedOn w:val="Tabellanormale"/>
    <w:next w:val="Elencochiaro-Colore2"/>
    <w:uiPriority w:val="99"/>
    <w:rsid w:val="00C55238"/>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1">
    <w:name w:val="Light List - Accent 31"/>
    <w:basedOn w:val="Tabellanormale"/>
    <w:next w:val="Elencochiaro-Colore3"/>
    <w:uiPriority w:val="99"/>
    <w:rsid w:val="00C55238"/>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1">
    <w:name w:val="Light List - Accent 41"/>
    <w:basedOn w:val="Tabellanormale"/>
    <w:next w:val="Elencochiaro-Colore4"/>
    <w:uiPriority w:val="99"/>
    <w:rsid w:val="00C55238"/>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1">
    <w:name w:val="Light List - Accent 51"/>
    <w:basedOn w:val="Tabellanormale"/>
    <w:next w:val="Elencochiaro-Colore5"/>
    <w:uiPriority w:val="99"/>
    <w:rsid w:val="00C55238"/>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1">
    <w:name w:val="Light List - Accent 61"/>
    <w:basedOn w:val="Tabellanormale"/>
    <w:next w:val="Elencochiaro-Colore6"/>
    <w:uiPriority w:val="99"/>
    <w:rsid w:val="00C55238"/>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ellanormale"/>
    <w:next w:val="Sfondochiaro"/>
    <w:uiPriority w:val="99"/>
    <w:rsid w:val="00C55238"/>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next w:val="Sfondochiaro-Colore1"/>
    <w:uiPriority w:val="99"/>
    <w:rsid w:val="00C55238"/>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1">
    <w:name w:val="Light Shading - Accent 21"/>
    <w:basedOn w:val="Tabellanormale"/>
    <w:next w:val="Sfondochiaro-Colore2"/>
    <w:uiPriority w:val="99"/>
    <w:rsid w:val="00C55238"/>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1">
    <w:name w:val="Light Shading - Accent 31"/>
    <w:basedOn w:val="Tabellanormale"/>
    <w:next w:val="Sfondochiaro-Colore3"/>
    <w:uiPriority w:val="99"/>
    <w:rsid w:val="00C55238"/>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1">
    <w:name w:val="Light Shading - Accent 41"/>
    <w:basedOn w:val="Tabellanormale"/>
    <w:next w:val="Sfondochiaro-Colore4"/>
    <w:uiPriority w:val="99"/>
    <w:rsid w:val="00C55238"/>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1">
    <w:name w:val="Light Shading - Accent 51"/>
    <w:basedOn w:val="Tabellanormale"/>
    <w:next w:val="Sfondochiaro-Colore5"/>
    <w:uiPriority w:val="99"/>
    <w:rsid w:val="00C55238"/>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1">
    <w:name w:val="Light Shading - Accent 61"/>
    <w:basedOn w:val="Tabellanormale"/>
    <w:next w:val="Sfondochiaro-Colore6"/>
    <w:uiPriority w:val="99"/>
    <w:rsid w:val="00C55238"/>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origa">
    <w:name w:val="line number"/>
    <w:basedOn w:val="Carpredefinitoparagrafo"/>
    <w:rsid w:val="00C55238"/>
  </w:style>
  <w:style w:type="table" w:customStyle="1" w:styleId="MediumGrid11">
    <w:name w:val="Medium Grid 11"/>
    <w:basedOn w:val="Tabellanormale"/>
    <w:next w:val="Grigliamedia1"/>
    <w:uiPriority w:val="99"/>
    <w:rsid w:val="00C55238"/>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ellanormale"/>
    <w:next w:val="Grigliamedia1-Colore1"/>
    <w:uiPriority w:val="99"/>
    <w:rsid w:val="00C55238"/>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1">
    <w:name w:val="Medium Grid 1 - Accent 21"/>
    <w:basedOn w:val="Tabellanormale"/>
    <w:next w:val="Grigliamedia1-Colore2"/>
    <w:uiPriority w:val="99"/>
    <w:rsid w:val="00C55238"/>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1">
    <w:name w:val="Medium Grid 1 - Accent 31"/>
    <w:basedOn w:val="Tabellanormale"/>
    <w:next w:val="Grigliamedia1-Colore3"/>
    <w:uiPriority w:val="99"/>
    <w:rsid w:val="00C55238"/>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1">
    <w:name w:val="Medium Grid 1 - Accent 41"/>
    <w:basedOn w:val="Tabellanormale"/>
    <w:next w:val="Grigliamedia1-Colore4"/>
    <w:uiPriority w:val="99"/>
    <w:rsid w:val="00C55238"/>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1">
    <w:name w:val="Medium Grid 1 - Accent 51"/>
    <w:basedOn w:val="Tabellanormale"/>
    <w:next w:val="Grigliamedia1-Colore5"/>
    <w:uiPriority w:val="99"/>
    <w:rsid w:val="00C55238"/>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1">
    <w:name w:val="Medium Grid 1 - Accent 61"/>
    <w:basedOn w:val="Tabellanormale"/>
    <w:next w:val="Grigliamedia1-Colore6"/>
    <w:uiPriority w:val="99"/>
    <w:rsid w:val="00C55238"/>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ellanormale"/>
    <w:next w:val="Grigliamedia2"/>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1">
    <w:name w:val="Medium Grid 2 - Accent 11"/>
    <w:basedOn w:val="Tabellanormale"/>
    <w:next w:val="Grigliamedia2-Colore1"/>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1">
    <w:name w:val="Medium Grid 2 - Accent 21"/>
    <w:basedOn w:val="Tabellanormale"/>
    <w:next w:val="Grigliamedia2-Colore2"/>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1">
    <w:name w:val="Medium Grid 2 - Accent 31"/>
    <w:basedOn w:val="Tabellanormale"/>
    <w:next w:val="Grigliamedia2-Colore3"/>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1">
    <w:name w:val="Medium Grid 2 - Accent 41"/>
    <w:basedOn w:val="Tabellanormale"/>
    <w:next w:val="Grigliamedia2-Colore4"/>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1">
    <w:name w:val="Medium Grid 2 - Accent 51"/>
    <w:basedOn w:val="Tabellanormale"/>
    <w:next w:val="Grigliamedia2-Colore5"/>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1">
    <w:name w:val="Medium Grid 2 - Accent 61"/>
    <w:basedOn w:val="Tabellanormale"/>
    <w:next w:val="Grigliamedia2-Colore6"/>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ellanormale"/>
    <w:next w:val="Grigliamedia3"/>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1">
    <w:name w:val="Medium Grid 3 - Accent 11"/>
    <w:basedOn w:val="Tabellanormale"/>
    <w:next w:val="Grigliamedia3-Colore1"/>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1">
    <w:name w:val="Medium Grid 3 - Accent 21"/>
    <w:basedOn w:val="Tabellanormale"/>
    <w:next w:val="Grigliamedia3-Colore2"/>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1">
    <w:name w:val="Medium Grid 3 - Accent 31"/>
    <w:basedOn w:val="Tabellanormale"/>
    <w:next w:val="Grigliamedia3-Colore3"/>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1">
    <w:name w:val="Medium Grid 3 - Accent 41"/>
    <w:basedOn w:val="Tabellanormale"/>
    <w:next w:val="Grigliamedia3-Colore4"/>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1">
    <w:name w:val="Medium Grid 3 - Accent 51"/>
    <w:basedOn w:val="Tabellanormale"/>
    <w:next w:val="Grigliamedia3-Colore5"/>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1">
    <w:name w:val="Medium Grid 3 - Accent 61"/>
    <w:basedOn w:val="Tabellanormale"/>
    <w:next w:val="Grigliamedia3-Colore6"/>
    <w:uiPriority w:val="99"/>
    <w:rsid w:val="00C55238"/>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ellanormale"/>
    <w:next w:val="Elencomedio1"/>
    <w:uiPriority w:val="99"/>
    <w:rsid w:val="00C55238"/>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next w:val="Elencomedio1-Colore1"/>
    <w:uiPriority w:val="99"/>
    <w:rsid w:val="00C55238"/>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1">
    <w:name w:val="Medium List 1 - Accent 21"/>
    <w:basedOn w:val="Tabellanormale"/>
    <w:next w:val="Elencomedio1-Colore2"/>
    <w:uiPriority w:val="99"/>
    <w:rsid w:val="00C55238"/>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1">
    <w:name w:val="Medium List 1 - Accent 31"/>
    <w:basedOn w:val="Tabellanormale"/>
    <w:next w:val="Elencomedio1-Colore3"/>
    <w:uiPriority w:val="99"/>
    <w:rsid w:val="00C55238"/>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1">
    <w:name w:val="Medium List 1 - Accent 41"/>
    <w:basedOn w:val="Tabellanormale"/>
    <w:next w:val="Elencomedio1-Colore4"/>
    <w:uiPriority w:val="99"/>
    <w:rsid w:val="00C55238"/>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1">
    <w:name w:val="Medium List 1 - Accent 51"/>
    <w:basedOn w:val="Tabellanormale"/>
    <w:next w:val="Elencomedio1-Colore5"/>
    <w:uiPriority w:val="99"/>
    <w:rsid w:val="00C55238"/>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1">
    <w:name w:val="Medium List 1 - Accent 61"/>
    <w:basedOn w:val="Tabellanormale"/>
    <w:next w:val="Elencomedio1-Colore6"/>
    <w:uiPriority w:val="99"/>
    <w:rsid w:val="00C55238"/>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ellanormale"/>
    <w:next w:val="Elencomedio2"/>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1">
    <w:name w:val="Medium List 2 - Accent 11"/>
    <w:basedOn w:val="Tabellanormale"/>
    <w:next w:val="Elencomedio2-Colore1"/>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1">
    <w:name w:val="Medium List 2 - Accent 21"/>
    <w:basedOn w:val="Tabellanormale"/>
    <w:next w:val="Elencomedio2-Colore2"/>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1">
    <w:name w:val="Medium List 2 - Accent 31"/>
    <w:basedOn w:val="Tabellanormale"/>
    <w:next w:val="Elencomedio2-Colore3"/>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1">
    <w:name w:val="Medium List 2 - Accent 41"/>
    <w:basedOn w:val="Tabellanormale"/>
    <w:next w:val="Elencomedio2-Colore4"/>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1">
    <w:name w:val="Medium List 2 - Accent 51"/>
    <w:basedOn w:val="Tabellanormale"/>
    <w:next w:val="Elencomedio2-Colore5"/>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1">
    <w:name w:val="Medium List 2 - Accent 61"/>
    <w:basedOn w:val="Tabellanormale"/>
    <w:next w:val="Elencomedio2-Colore6"/>
    <w:uiPriority w:val="99"/>
    <w:rsid w:val="00C55238"/>
    <w:rPr>
      <w:rFonts w:ascii="Times New Roman" w:eastAsia="Times New Roman" w:hAnsi="Times New Roman" w:cs="Times New Roman"/>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ellanormale"/>
    <w:next w:val="Sfondomedio1"/>
    <w:uiPriority w:val="99"/>
    <w:rsid w:val="00C55238"/>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next w:val="Sfondomedio1-Colore1"/>
    <w:uiPriority w:val="99"/>
    <w:rsid w:val="00C55238"/>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1">
    <w:name w:val="Medium Shading 1 - Accent 21"/>
    <w:basedOn w:val="Tabellanormale"/>
    <w:next w:val="Sfondomedio1-Colore2"/>
    <w:uiPriority w:val="99"/>
    <w:rsid w:val="00C55238"/>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1">
    <w:name w:val="Medium Shading 1 - Accent 31"/>
    <w:basedOn w:val="Tabellanormale"/>
    <w:next w:val="Sfondomedio1-Colore3"/>
    <w:uiPriority w:val="99"/>
    <w:rsid w:val="00C55238"/>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1">
    <w:name w:val="Medium Shading 1 - Accent 41"/>
    <w:basedOn w:val="Tabellanormale"/>
    <w:next w:val="Sfondomedio1-Colore4"/>
    <w:uiPriority w:val="99"/>
    <w:rsid w:val="00C55238"/>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1">
    <w:name w:val="Medium Shading 1 - Accent 51"/>
    <w:basedOn w:val="Tabellanormale"/>
    <w:next w:val="Sfondomedio1-Colore5"/>
    <w:uiPriority w:val="99"/>
    <w:rsid w:val="00C55238"/>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1">
    <w:name w:val="Medium Shading 1 - Accent 61"/>
    <w:basedOn w:val="Tabellanormale"/>
    <w:next w:val="Sfondomedio1-Colore6"/>
    <w:uiPriority w:val="99"/>
    <w:rsid w:val="00C55238"/>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
    <w:name w:val="Medium Shading 21"/>
    <w:basedOn w:val="Tabellanormale"/>
    <w:next w:val="Sfondomedio2"/>
    <w:uiPriority w:val="99"/>
    <w:rsid w:val="00C55238"/>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next w:val="Sfondomedio2-Colore1"/>
    <w:uiPriority w:val="99"/>
    <w:rsid w:val="00C55238"/>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ellanormale"/>
    <w:next w:val="Sfondomedio2-Colore2"/>
    <w:uiPriority w:val="99"/>
    <w:rsid w:val="00C55238"/>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ellanormale"/>
    <w:next w:val="Sfondomedio2-Colore3"/>
    <w:uiPriority w:val="99"/>
    <w:rsid w:val="00C55238"/>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ellanormale"/>
    <w:next w:val="Sfondomedio2-Colore4"/>
    <w:uiPriority w:val="99"/>
    <w:rsid w:val="00C55238"/>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ellanormale"/>
    <w:next w:val="Sfondomedio2-Colore5"/>
    <w:uiPriority w:val="99"/>
    <w:rsid w:val="00C55238"/>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ellanormale"/>
    <w:next w:val="Sfondomedio2-Colore6"/>
    <w:uiPriority w:val="99"/>
    <w:rsid w:val="00C55238"/>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character" w:customStyle="1" w:styleId="IntestazionenotaCarattere">
    <w:name w:val="Intestazione nota Carattere"/>
    <w:basedOn w:val="Carpredefinitoparagrafo"/>
    <w:link w:val="Intestazionenota"/>
    <w:uiPriority w:val="99"/>
    <w:rsid w:val="00C55238"/>
    <w:rPr>
      <w:rFonts w:eastAsia="Times New Roman"/>
      <w:sz w:val="24"/>
    </w:rPr>
  </w:style>
  <w:style w:type="character" w:customStyle="1" w:styleId="FormuladiaperturaCarattere">
    <w:name w:val="Formula di apertura Carattere"/>
    <w:basedOn w:val="Carpredefinitoparagrafo"/>
    <w:link w:val="Formuladiapertura"/>
    <w:uiPriority w:val="99"/>
    <w:rsid w:val="00C55238"/>
    <w:rPr>
      <w:rFonts w:eastAsia="Times New Roman"/>
      <w:sz w:val="24"/>
    </w:rPr>
  </w:style>
  <w:style w:type="table" w:customStyle="1" w:styleId="Table3Deffects11">
    <w:name w:val="Table 3D effects 11"/>
    <w:basedOn w:val="Tabellanormale"/>
    <w:next w:val="Tabellaeffetti3D1"/>
    <w:uiPriority w:val="99"/>
    <w:semiHidden/>
    <w:rsid w:val="00C55238"/>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lanormale"/>
    <w:next w:val="Tabellaeffetti3D2"/>
    <w:uiPriority w:val="99"/>
    <w:semiHidden/>
    <w:rsid w:val="00C55238"/>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lanormale"/>
    <w:next w:val="Tabellaeffetti3D3"/>
    <w:uiPriority w:val="99"/>
    <w:semiHidden/>
    <w:rsid w:val="00C55238"/>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lanormale"/>
    <w:next w:val="Tabellaclassica1"/>
    <w:uiPriority w:val="99"/>
    <w:semiHidden/>
    <w:rsid w:val="00C55238"/>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lanormale"/>
    <w:next w:val="Tabellaclassica2"/>
    <w:uiPriority w:val="99"/>
    <w:semiHidden/>
    <w:rsid w:val="00C55238"/>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lanormale"/>
    <w:next w:val="Tabellaclassica3"/>
    <w:uiPriority w:val="99"/>
    <w:semiHidden/>
    <w:rsid w:val="00C55238"/>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lanormale"/>
    <w:next w:val="Tabellaclassica4"/>
    <w:uiPriority w:val="99"/>
    <w:semiHidden/>
    <w:rsid w:val="00C55238"/>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lanormale"/>
    <w:next w:val="Tabellaacolori1"/>
    <w:uiPriority w:val="99"/>
    <w:semiHidden/>
    <w:rsid w:val="00C55238"/>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lanormale"/>
    <w:next w:val="Tabellaacolori2"/>
    <w:uiPriority w:val="99"/>
    <w:semiHidden/>
    <w:rsid w:val="00C55238"/>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ellanormale"/>
    <w:next w:val="Tabellaacolori3"/>
    <w:uiPriority w:val="99"/>
    <w:semiHidden/>
    <w:rsid w:val="00C55238"/>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ellanormale"/>
    <w:next w:val="Tabellacolonne1"/>
    <w:uiPriority w:val="99"/>
    <w:semiHidden/>
    <w:rsid w:val="00C55238"/>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lanormale"/>
    <w:next w:val="Tabellacolonne2"/>
    <w:uiPriority w:val="99"/>
    <w:semiHidden/>
    <w:rsid w:val="00C55238"/>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lanormale"/>
    <w:next w:val="Tabellacolonne3"/>
    <w:uiPriority w:val="99"/>
    <w:semiHidden/>
    <w:rsid w:val="00C55238"/>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lanormale"/>
    <w:next w:val="Tabellacolonne4"/>
    <w:uiPriority w:val="99"/>
    <w:semiHidden/>
    <w:rsid w:val="00C55238"/>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lanormale"/>
    <w:next w:val="Tabellacolonne5"/>
    <w:uiPriority w:val="99"/>
    <w:semiHidden/>
    <w:rsid w:val="00C55238"/>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lanormale"/>
    <w:next w:val="Tabellacontemporanea"/>
    <w:uiPriority w:val="99"/>
    <w:semiHidden/>
    <w:rsid w:val="00C55238"/>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lanormale"/>
    <w:next w:val="Tabellaelegante"/>
    <w:uiPriority w:val="99"/>
    <w:semiHidden/>
    <w:rsid w:val="00C55238"/>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ellanormale"/>
    <w:next w:val="Grigliatabella1"/>
    <w:uiPriority w:val="99"/>
    <w:semiHidden/>
    <w:rsid w:val="00C55238"/>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lanormale"/>
    <w:next w:val="Grigliatabella2"/>
    <w:uiPriority w:val="99"/>
    <w:semiHidden/>
    <w:rsid w:val="00C55238"/>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lanormale"/>
    <w:next w:val="Grigliatabella3"/>
    <w:uiPriority w:val="99"/>
    <w:semiHidden/>
    <w:rsid w:val="00C55238"/>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lanormale"/>
    <w:next w:val="Grigliatabella4"/>
    <w:uiPriority w:val="99"/>
    <w:semiHidden/>
    <w:rsid w:val="00C55238"/>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lanormale"/>
    <w:next w:val="Grigliatabella5"/>
    <w:uiPriority w:val="99"/>
    <w:semiHidden/>
    <w:rsid w:val="00C55238"/>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lanormale"/>
    <w:next w:val="Grigliatabella6"/>
    <w:uiPriority w:val="99"/>
    <w:semiHidden/>
    <w:rsid w:val="00C55238"/>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lanormale"/>
    <w:next w:val="Grigliatabella7"/>
    <w:uiPriority w:val="99"/>
    <w:semiHidden/>
    <w:rsid w:val="00C55238"/>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lanormale"/>
    <w:next w:val="Grigliatabella8"/>
    <w:uiPriority w:val="99"/>
    <w:semiHidden/>
    <w:rsid w:val="00C55238"/>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lanormale"/>
    <w:next w:val="Elencotabella1"/>
    <w:uiPriority w:val="99"/>
    <w:semiHidden/>
    <w:rsid w:val="00C55238"/>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lanormale"/>
    <w:next w:val="Elencotabella2"/>
    <w:uiPriority w:val="99"/>
    <w:semiHidden/>
    <w:rsid w:val="00C55238"/>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lanormale"/>
    <w:next w:val="Elencotabella3"/>
    <w:uiPriority w:val="99"/>
    <w:semiHidden/>
    <w:rsid w:val="00C55238"/>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lanormale"/>
    <w:next w:val="Elencotabella4"/>
    <w:uiPriority w:val="99"/>
    <w:semiHidden/>
    <w:rsid w:val="00C55238"/>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lanormale"/>
    <w:next w:val="Elencotabella5"/>
    <w:uiPriority w:val="99"/>
    <w:semiHidden/>
    <w:rsid w:val="00C55238"/>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lanormale"/>
    <w:next w:val="Elencotabella6"/>
    <w:uiPriority w:val="99"/>
    <w:semiHidden/>
    <w:rsid w:val="00C55238"/>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lanormale"/>
    <w:next w:val="Elencotabella7"/>
    <w:uiPriority w:val="99"/>
    <w:semiHidden/>
    <w:rsid w:val="00C55238"/>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lanormale"/>
    <w:next w:val="Elencotabella8"/>
    <w:uiPriority w:val="99"/>
    <w:semiHidden/>
    <w:rsid w:val="00C55238"/>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lanormale"/>
    <w:next w:val="Tabellaprofessionale"/>
    <w:uiPriority w:val="99"/>
    <w:semiHidden/>
    <w:rsid w:val="00C55238"/>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lanormale"/>
    <w:next w:val="Tabellasemplice1"/>
    <w:uiPriority w:val="99"/>
    <w:semiHidden/>
    <w:rsid w:val="00C55238"/>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ellanormale"/>
    <w:next w:val="Tabellasemplice2"/>
    <w:uiPriority w:val="99"/>
    <w:semiHidden/>
    <w:rsid w:val="00C55238"/>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lanormale"/>
    <w:next w:val="Tabellasemplice3"/>
    <w:uiPriority w:val="99"/>
    <w:semiHidden/>
    <w:rsid w:val="00C55238"/>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lanormale"/>
    <w:next w:val="Tabellaconombreggiatura1"/>
    <w:uiPriority w:val="99"/>
    <w:semiHidden/>
    <w:rsid w:val="00C55238"/>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lanormale"/>
    <w:next w:val="Tabellaconombreggiatura2"/>
    <w:uiPriority w:val="99"/>
    <w:semiHidden/>
    <w:rsid w:val="00C55238"/>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lanormale"/>
    <w:next w:val="Tabellatema"/>
    <w:uiPriority w:val="99"/>
    <w:semiHidden/>
    <w:rsid w:val="00C55238"/>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lanormale"/>
    <w:next w:val="TabellaWeb1"/>
    <w:uiPriority w:val="99"/>
    <w:semiHidden/>
    <w:rsid w:val="00C55238"/>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lanormale"/>
    <w:next w:val="TabellaWeb2"/>
    <w:uiPriority w:val="99"/>
    <w:semiHidden/>
    <w:rsid w:val="00C55238"/>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lanormale"/>
    <w:next w:val="TabellaWeb3"/>
    <w:uiPriority w:val="99"/>
    <w:semiHidden/>
    <w:rsid w:val="00C55238"/>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basedOn w:val="NessunaspaziaturaCarattere"/>
    <w:link w:val="ECHRPara"/>
    <w:uiPriority w:val="12"/>
    <w:rsid w:val="00C55238"/>
    <w:rPr>
      <w:rFonts w:eastAsiaTheme="minorEastAsia"/>
      <w:sz w:val="24"/>
    </w:rPr>
  </w:style>
  <w:style w:type="paragraph" w:styleId="Testocommento">
    <w:name w:val="annotation text"/>
    <w:basedOn w:val="Normale"/>
    <w:link w:val="TestocommentoCarattere"/>
    <w:semiHidden/>
    <w:rsid w:val="00C55238"/>
    <w:rPr>
      <w:sz w:val="20"/>
      <w:szCs w:val="20"/>
    </w:rPr>
  </w:style>
  <w:style w:type="character" w:customStyle="1" w:styleId="TestocommentoCarattere">
    <w:name w:val="Testo commento Carattere"/>
    <w:basedOn w:val="Carpredefinitoparagrafo"/>
    <w:link w:val="Testocommento"/>
    <w:semiHidden/>
    <w:rsid w:val="00C55238"/>
    <w:rPr>
      <w:sz w:val="20"/>
      <w:szCs w:val="20"/>
    </w:rPr>
  </w:style>
  <w:style w:type="paragraph" w:styleId="Testonotadichiusura">
    <w:name w:val="endnote text"/>
    <w:basedOn w:val="Normale"/>
    <w:link w:val="TestonotadichiusuraCarattere"/>
    <w:uiPriority w:val="99"/>
    <w:rsid w:val="00C55238"/>
    <w:rPr>
      <w:sz w:val="20"/>
      <w:szCs w:val="20"/>
    </w:rPr>
  </w:style>
  <w:style w:type="character" w:customStyle="1" w:styleId="TestonotadichiusuraCarattere">
    <w:name w:val="Testo nota di chiusura Carattere"/>
    <w:basedOn w:val="Carpredefinitoparagrafo"/>
    <w:link w:val="Testonotadichiusura"/>
    <w:uiPriority w:val="99"/>
    <w:rsid w:val="00C55238"/>
    <w:rPr>
      <w:sz w:val="20"/>
      <w:szCs w:val="20"/>
    </w:rPr>
  </w:style>
  <w:style w:type="paragraph" w:styleId="Puntoelenco">
    <w:name w:val="List Bullet"/>
    <w:basedOn w:val="Normale"/>
    <w:uiPriority w:val="99"/>
    <w:rsid w:val="00C55238"/>
    <w:pPr>
      <w:numPr>
        <w:numId w:val="8"/>
      </w:numPr>
      <w:contextualSpacing/>
    </w:pPr>
  </w:style>
  <w:style w:type="paragraph" w:styleId="Soggettocommento">
    <w:name w:val="annotation subject"/>
    <w:basedOn w:val="Testocommento"/>
    <w:next w:val="Testocommento"/>
    <w:link w:val="SoggettocommentoCarattere"/>
    <w:rsid w:val="00C55238"/>
    <w:rPr>
      <w:rFonts w:eastAsia="Times New Roman"/>
      <w:b/>
      <w:bCs/>
      <w:szCs w:val="22"/>
    </w:rPr>
  </w:style>
  <w:style w:type="paragraph" w:styleId="Mappadocumento">
    <w:name w:val="Document Map"/>
    <w:basedOn w:val="Normale"/>
    <w:link w:val="MappadocumentoCarattere"/>
    <w:rsid w:val="00C55238"/>
    <w:rPr>
      <w:rFonts w:ascii="Tahoma" w:hAnsi="Tahoma" w:cs="Tahoma"/>
      <w:sz w:val="16"/>
      <w:szCs w:val="16"/>
    </w:rPr>
  </w:style>
  <w:style w:type="character" w:customStyle="1" w:styleId="MappadocumentoCarattere">
    <w:name w:val="Mappa documento Carattere"/>
    <w:basedOn w:val="Carpredefinitoparagrafo"/>
    <w:link w:val="Mappadocumento"/>
    <w:rsid w:val="00C55238"/>
    <w:rPr>
      <w:rFonts w:ascii="Tahoma" w:hAnsi="Tahoma" w:cs="Tahoma"/>
      <w:sz w:val="16"/>
      <w:szCs w:val="16"/>
    </w:rPr>
  </w:style>
  <w:style w:type="paragraph" w:styleId="Sottotitolo">
    <w:name w:val="Subtitle"/>
    <w:basedOn w:val="Normale"/>
    <w:next w:val="Normale"/>
    <w:link w:val="SottotitoloCarattere"/>
    <w:uiPriority w:val="99"/>
    <w:qFormat/>
    <w:rsid w:val="00313171"/>
    <w:pPr>
      <w:spacing w:after="600"/>
    </w:pPr>
    <w:rPr>
      <w:rFonts w:asciiTheme="majorHAnsi" w:eastAsiaTheme="majorEastAsia" w:hAnsiTheme="majorHAnsi" w:cstheme="majorBidi"/>
      <w:i/>
      <w:iCs/>
      <w:spacing w:val="13"/>
      <w:szCs w:val="24"/>
      <w:lang w:bidi="en-US"/>
    </w:rPr>
  </w:style>
  <w:style w:type="paragraph" w:styleId="Testodelblocco">
    <w:name w:val="Block Text"/>
    <w:basedOn w:val="Normale"/>
    <w:uiPriority w:val="99"/>
    <w:rsid w:val="00C55238"/>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rsid w:val="00C55238"/>
    <w:pPr>
      <w:spacing w:after="120"/>
    </w:pPr>
  </w:style>
  <w:style w:type="character" w:customStyle="1" w:styleId="CorpotestoCarattere">
    <w:name w:val="Corpo testo Carattere"/>
    <w:basedOn w:val="Carpredefinitoparagrafo"/>
    <w:link w:val="Corpotesto"/>
    <w:rsid w:val="00C55238"/>
  </w:style>
  <w:style w:type="paragraph" w:styleId="Corpodeltesto2">
    <w:name w:val="Body Text 2"/>
    <w:basedOn w:val="Normale"/>
    <w:link w:val="Corpodeltesto2Carattere"/>
    <w:uiPriority w:val="99"/>
    <w:rsid w:val="00C55238"/>
    <w:pPr>
      <w:spacing w:after="120" w:line="480" w:lineRule="auto"/>
    </w:pPr>
  </w:style>
  <w:style w:type="character" w:customStyle="1" w:styleId="Corpodeltesto2Carattere">
    <w:name w:val="Corpo del testo 2 Carattere"/>
    <w:basedOn w:val="Carpredefinitoparagrafo"/>
    <w:link w:val="Corpodeltesto2"/>
    <w:uiPriority w:val="99"/>
    <w:rsid w:val="00C55238"/>
  </w:style>
  <w:style w:type="paragraph" w:styleId="Corpodeltesto3">
    <w:name w:val="Body Text 3"/>
    <w:basedOn w:val="Normale"/>
    <w:link w:val="Corpodeltesto3Carattere"/>
    <w:uiPriority w:val="99"/>
    <w:rsid w:val="00C55238"/>
    <w:pPr>
      <w:spacing w:after="120"/>
    </w:pPr>
    <w:rPr>
      <w:sz w:val="16"/>
      <w:szCs w:val="16"/>
    </w:rPr>
  </w:style>
  <w:style w:type="character" w:customStyle="1" w:styleId="Corpodeltesto3Carattere">
    <w:name w:val="Corpo del testo 3 Carattere"/>
    <w:basedOn w:val="Carpredefinitoparagrafo"/>
    <w:link w:val="Corpodeltesto3"/>
    <w:uiPriority w:val="99"/>
    <w:rsid w:val="00C55238"/>
    <w:rPr>
      <w:sz w:val="16"/>
      <w:szCs w:val="16"/>
    </w:rPr>
  </w:style>
  <w:style w:type="paragraph" w:styleId="Primorientrocorpodeltesto">
    <w:name w:val="Body Text First Indent"/>
    <w:basedOn w:val="Corpotesto"/>
    <w:link w:val="PrimorientrocorpodeltestoCarattere"/>
    <w:uiPriority w:val="99"/>
    <w:rsid w:val="00C55238"/>
    <w:pPr>
      <w:spacing w:after="0"/>
      <w:ind w:firstLine="360"/>
    </w:pPr>
  </w:style>
  <w:style w:type="character" w:customStyle="1" w:styleId="PrimorientrocorpodeltestoCarattere">
    <w:name w:val="Primo rientro corpo del testo Carattere"/>
    <w:basedOn w:val="CorpotestoCarattere"/>
    <w:link w:val="Primorientrocorpodeltesto"/>
    <w:uiPriority w:val="99"/>
    <w:rsid w:val="00C55238"/>
  </w:style>
  <w:style w:type="paragraph" w:styleId="Rientrocorpodeltesto">
    <w:name w:val="Body Text Indent"/>
    <w:basedOn w:val="Normale"/>
    <w:link w:val="RientrocorpodeltestoCarattere"/>
    <w:uiPriority w:val="99"/>
    <w:rsid w:val="00C55238"/>
    <w:pPr>
      <w:spacing w:after="120"/>
      <w:ind w:left="283"/>
    </w:pPr>
  </w:style>
  <w:style w:type="character" w:customStyle="1" w:styleId="RientrocorpodeltestoCarattere">
    <w:name w:val="Rientro corpo del testo Carattere"/>
    <w:basedOn w:val="Carpredefinitoparagrafo"/>
    <w:link w:val="Rientrocorpodeltesto"/>
    <w:uiPriority w:val="99"/>
    <w:rsid w:val="00C55238"/>
  </w:style>
  <w:style w:type="paragraph" w:styleId="Primorientrocorpodeltesto2">
    <w:name w:val="Body Text First Indent 2"/>
    <w:basedOn w:val="Rientrocorpodeltesto"/>
    <w:link w:val="Primorientrocorpodeltesto2Carattere"/>
    <w:rsid w:val="00C55238"/>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C55238"/>
  </w:style>
  <w:style w:type="paragraph" w:styleId="Rientrocorpodeltesto2">
    <w:name w:val="Body Text Indent 2"/>
    <w:basedOn w:val="Normale"/>
    <w:link w:val="Rientrocorpodeltesto2Carattere"/>
    <w:rsid w:val="00C55238"/>
    <w:pPr>
      <w:spacing w:after="120" w:line="480" w:lineRule="auto"/>
      <w:ind w:left="283"/>
    </w:pPr>
  </w:style>
  <w:style w:type="character" w:customStyle="1" w:styleId="Rientrocorpodeltesto2Carattere">
    <w:name w:val="Rientro corpo del testo 2 Carattere"/>
    <w:basedOn w:val="Carpredefinitoparagrafo"/>
    <w:link w:val="Rientrocorpodeltesto2"/>
    <w:rsid w:val="00C55238"/>
  </w:style>
  <w:style w:type="paragraph" w:styleId="Rientrocorpodeltesto3">
    <w:name w:val="Body Text Indent 3"/>
    <w:basedOn w:val="Normale"/>
    <w:link w:val="Rientrocorpodeltesto3Carattere"/>
    <w:uiPriority w:val="99"/>
    <w:rsid w:val="00C5523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C55238"/>
    <w:rPr>
      <w:sz w:val="16"/>
      <w:szCs w:val="16"/>
    </w:rPr>
  </w:style>
  <w:style w:type="paragraph" w:styleId="Formuladichiusura">
    <w:name w:val="Closing"/>
    <w:basedOn w:val="Normale"/>
    <w:link w:val="FormuladichiusuraCarattere"/>
    <w:uiPriority w:val="99"/>
    <w:rsid w:val="00C55238"/>
    <w:pPr>
      <w:ind w:left="4252"/>
    </w:pPr>
  </w:style>
  <w:style w:type="character" w:customStyle="1" w:styleId="FormuladichiusuraCarattere">
    <w:name w:val="Formula di chiusura Carattere"/>
    <w:basedOn w:val="Carpredefinitoparagrafo"/>
    <w:link w:val="Formuladichiusura"/>
    <w:uiPriority w:val="99"/>
    <w:rsid w:val="00C55238"/>
  </w:style>
  <w:style w:type="table" w:styleId="Grigliaacolori">
    <w:name w:val="Colorful Grid"/>
    <w:basedOn w:val="Tabellanormale"/>
    <w:uiPriority w:val="99"/>
    <w:rsid w:val="00C55238"/>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rsid w:val="00C55238"/>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rsid w:val="00C55238"/>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rsid w:val="00C55238"/>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rsid w:val="00C55238"/>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rsid w:val="00C55238"/>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rsid w:val="00C55238"/>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rsid w:val="00C55238"/>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rsid w:val="00C55238"/>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rsid w:val="00C55238"/>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rsid w:val="00C55238"/>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rsid w:val="00C55238"/>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rsid w:val="00C55238"/>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rsid w:val="00C55238"/>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rsid w:val="00C55238"/>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rsid w:val="00C55238"/>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rsid w:val="00C55238"/>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rsid w:val="00C55238"/>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rsid w:val="00C55238"/>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rsid w:val="00C55238"/>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rsid w:val="00C55238"/>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rsid w:val="00C55238"/>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rsid w:val="00C55238"/>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rsid w:val="00C55238"/>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rsid w:val="00C55238"/>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rsid w:val="00C55238"/>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rsid w:val="00C55238"/>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rsid w:val="00C55238"/>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rsid w:val="00C55238"/>
    <w:rPr>
      <w:rFonts w:eastAsia="Times New Roman"/>
    </w:rPr>
  </w:style>
  <w:style w:type="paragraph" w:styleId="Firmadipostaelettronica">
    <w:name w:val="E-mail Signature"/>
    <w:basedOn w:val="Normale"/>
    <w:link w:val="FirmadipostaelettronicaCarattere"/>
    <w:uiPriority w:val="99"/>
    <w:rsid w:val="00C55238"/>
  </w:style>
  <w:style w:type="character" w:customStyle="1" w:styleId="FirmadipostaelettronicaCarattere">
    <w:name w:val="Firma di posta elettronica Carattere"/>
    <w:basedOn w:val="Carpredefinitoparagrafo"/>
    <w:link w:val="Firmadipostaelettronica"/>
    <w:uiPriority w:val="99"/>
    <w:rsid w:val="00C55238"/>
  </w:style>
  <w:style w:type="paragraph" w:styleId="Indirizzodestinatario">
    <w:name w:val="envelope address"/>
    <w:basedOn w:val="Normale"/>
    <w:uiPriority w:val="99"/>
    <w:rsid w:val="00C5523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rsid w:val="00C55238"/>
    <w:rPr>
      <w:rFonts w:asciiTheme="majorHAnsi" w:eastAsiaTheme="majorEastAsia" w:hAnsiTheme="majorHAnsi" w:cstheme="majorBidi"/>
      <w:sz w:val="20"/>
      <w:szCs w:val="20"/>
    </w:rPr>
  </w:style>
  <w:style w:type="paragraph" w:styleId="IndirizzoHTML">
    <w:name w:val="HTML Address"/>
    <w:basedOn w:val="Normale"/>
    <w:link w:val="IndirizzoHTMLCarattere"/>
    <w:rsid w:val="00C55238"/>
    <w:rPr>
      <w:i/>
      <w:iCs/>
    </w:rPr>
  </w:style>
  <w:style w:type="character" w:customStyle="1" w:styleId="IndirizzoHTMLCarattere">
    <w:name w:val="Indirizzo HTML Carattere"/>
    <w:basedOn w:val="Carpredefinitoparagrafo"/>
    <w:link w:val="IndirizzoHTML"/>
    <w:rsid w:val="00C55238"/>
    <w:rPr>
      <w:i/>
      <w:iCs/>
    </w:rPr>
  </w:style>
  <w:style w:type="paragraph" w:styleId="PreformattatoHTML">
    <w:name w:val="HTML Preformatted"/>
    <w:basedOn w:val="Normale"/>
    <w:link w:val="PreformattatoHTMLCarattere"/>
    <w:uiPriority w:val="99"/>
    <w:rsid w:val="00C5523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C55238"/>
    <w:rPr>
      <w:rFonts w:ascii="Consolas" w:hAnsi="Consolas" w:cs="Consolas"/>
      <w:sz w:val="20"/>
      <w:szCs w:val="20"/>
    </w:rPr>
  </w:style>
  <w:style w:type="paragraph" w:styleId="Indice1">
    <w:name w:val="index 1"/>
    <w:basedOn w:val="Normale"/>
    <w:next w:val="Normale"/>
    <w:autoRedefine/>
    <w:uiPriority w:val="99"/>
    <w:rsid w:val="00C55238"/>
    <w:pPr>
      <w:ind w:left="220" w:hanging="220"/>
    </w:pPr>
  </w:style>
  <w:style w:type="table" w:styleId="Grigliachiara">
    <w:name w:val="Light Grid"/>
    <w:basedOn w:val="Tabellanormale"/>
    <w:uiPriority w:val="99"/>
    <w:rsid w:val="00C552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C55238"/>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rsid w:val="00C55238"/>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rsid w:val="00C55238"/>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rsid w:val="00C55238"/>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rsid w:val="00C55238"/>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rsid w:val="00C55238"/>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rsid w:val="00C552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rsid w:val="00C55238"/>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rsid w:val="00C55238"/>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rsid w:val="00C55238"/>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rsid w:val="00C55238"/>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rsid w:val="00C55238"/>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rsid w:val="00C55238"/>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rsid w:val="00C552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rsid w:val="00C55238"/>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rsid w:val="00C55238"/>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rsid w:val="00C55238"/>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rsid w:val="00C55238"/>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rsid w:val="00C55238"/>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rsid w:val="00C55238"/>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Elenco">
    <w:name w:val="List"/>
    <w:basedOn w:val="Normale"/>
    <w:uiPriority w:val="99"/>
    <w:rsid w:val="00C55238"/>
    <w:pPr>
      <w:ind w:left="283" w:hanging="283"/>
      <w:contextualSpacing/>
    </w:pPr>
  </w:style>
  <w:style w:type="paragraph" w:styleId="Elenco2">
    <w:name w:val="List 2"/>
    <w:basedOn w:val="Normale"/>
    <w:rsid w:val="00C55238"/>
    <w:pPr>
      <w:ind w:left="566" w:hanging="283"/>
      <w:contextualSpacing/>
    </w:pPr>
  </w:style>
  <w:style w:type="paragraph" w:styleId="Elenco3">
    <w:name w:val="List 3"/>
    <w:basedOn w:val="Normale"/>
    <w:uiPriority w:val="99"/>
    <w:rsid w:val="00C55238"/>
    <w:pPr>
      <w:ind w:left="849" w:hanging="283"/>
      <w:contextualSpacing/>
    </w:pPr>
  </w:style>
  <w:style w:type="paragraph" w:styleId="Elenco4">
    <w:name w:val="List 4"/>
    <w:basedOn w:val="Normale"/>
    <w:rsid w:val="00C55238"/>
    <w:pPr>
      <w:ind w:left="1132" w:hanging="283"/>
      <w:contextualSpacing/>
    </w:pPr>
  </w:style>
  <w:style w:type="paragraph" w:styleId="Elenco5">
    <w:name w:val="List 5"/>
    <w:basedOn w:val="Normale"/>
    <w:uiPriority w:val="99"/>
    <w:rsid w:val="00C55238"/>
    <w:pPr>
      <w:ind w:left="1415" w:hanging="283"/>
      <w:contextualSpacing/>
    </w:pPr>
  </w:style>
  <w:style w:type="paragraph" w:styleId="Puntoelenco2">
    <w:name w:val="List Bullet 2"/>
    <w:basedOn w:val="Normale"/>
    <w:uiPriority w:val="99"/>
    <w:rsid w:val="00C55238"/>
    <w:pPr>
      <w:tabs>
        <w:tab w:val="num" w:pos="643"/>
      </w:tabs>
      <w:ind w:left="643" w:hanging="360"/>
      <w:contextualSpacing/>
    </w:pPr>
  </w:style>
  <w:style w:type="paragraph" w:styleId="Puntoelenco3">
    <w:name w:val="List Bullet 3"/>
    <w:basedOn w:val="Normale"/>
    <w:rsid w:val="00C55238"/>
    <w:pPr>
      <w:tabs>
        <w:tab w:val="num" w:pos="926"/>
      </w:tabs>
      <w:ind w:left="926" w:hanging="360"/>
      <w:contextualSpacing/>
    </w:pPr>
  </w:style>
  <w:style w:type="paragraph" w:styleId="Puntoelenco4">
    <w:name w:val="List Bullet 4"/>
    <w:basedOn w:val="Normale"/>
    <w:uiPriority w:val="99"/>
    <w:rsid w:val="00C55238"/>
    <w:pPr>
      <w:tabs>
        <w:tab w:val="num" w:pos="1209"/>
      </w:tabs>
      <w:ind w:left="1209" w:hanging="360"/>
      <w:contextualSpacing/>
    </w:pPr>
  </w:style>
  <w:style w:type="paragraph" w:styleId="Puntoelenco5">
    <w:name w:val="List Bullet 5"/>
    <w:basedOn w:val="Normale"/>
    <w:rsid w:val="00C55238"/>
    <w:pPr>
      <w:tabs>
        <w:tab w:val="num" w:pos="1492"/>
      </w:tabs>
      <w:ind w:left="1492" w:hanging="360"/>
      <w:contextualSpacing/>
    </w:pPr>
  </w:style>
  <w:style w:type="paragraph" w:styleId="Elencocontinua">
    <w:name w:val="List Continue"/>
    <w:basedOn w:val="Normale"/>
    <w:uiPriority w:val="99"/>
    <w:rsid w:val="00C55238"/>
    <w:pPr>
      <w:spacing w:after="120"/>
      <w:ind w:left="283"/>
      <w:contextualSpacing/>
    </w:pPr>
  </w:style>
  <w:style w:type="paragraph" w:styleId="Elencocontinua2">
    <w:name w:val="List Continue 2"/>
    <w:basedOn w:val="Normale"/>
    <w:rsid w:val="00C55238"/>
    <w:pPr>
      <w:spacing w:after="120"/>
      <w:ind w:left="566"/>
      <w:contextualSpacing/>
    </w:pPr>
  </w:style>
  <w:style w:type="paragraph" w:styleId="Elencocontinua3">
    <w:name w:val="List Continue 3"/>
    <w:basedOn w:val="Normale"/>
    <w:uiPriority w:val="99"/>
    <w:rsid w:val="00C55238"/>
    <w:pPr>
      <w:spacing w:after="120"/>
      <w:ind w:left="849"/>
      <w:contextualSpacing/>
    </w:pPr>
  </w:style>
  <w:style w:type="paragraph" w:styleId="Elencocontinua4">
    <w:name w:val="List Continue 4"/>
    <w:basedOn w:val="Normale"/>
    <w:uiPriority w:val="99"/>
    <w:rsid w:val="00C55238"/>
    <w:pPr>
      <w:spacing w:after="120"/>
      <w:ind w:left="1132"/>
      <w:contextualSpacing/>
    </w:pPr>
  </w:style>
  <w:style w:type="paragraph" w:styleId="Elencocontinua5">
    <w:name w:val="List Continue 5"/>
    <w:basedOn w:val="Normale"/>
    <w:uiPriority w:val="99"/>
    <w:rsid w:val="00C55238"/>
    <w:pPr>
      <w:spacing w:after="120"/>
      <w:ind w:left="1415"/>
      <w:contextualSpacing/>
    </w:pPr>
  </w:style>
  <w:style w:type="paragraph" w:styleId="Numeroelenco">
    <w:name w:val="List Number"/>
    <w:basedOn w:val="Normale"/>
    <w:rsid w:val="00C55238"/>
    <w:pPr>
      <w:tabs>
        <w:tab w:val="num" w:pos="360"/>
      </w:tabs>
      <w:ind w:left="360" w:hanging="360"/>
      <w:contextualSpacing/>
    </w:pPr>
  </w:style>
  <w:style w:type="paragraph" w:styleId="Numeroelenco2">
    <w:name w:val="List Number 2"/>
    <w:basedOn w:val="Normale"/>
    <w:uiPriority w:val="99"/>
    <w:rsid w:val="00C55238"/>
    <w:pPr>
      <w:tabs>
        <w:tab w:val="num" w:pos="643"/>
      </w:tabs>
      <w:ind w:left="643" w:hanging="360"/>
      <w:contextualSpacing/>
    </w:pPr>
  </w:style>
  <w:style w:type="paragraph" w:styleId="Numeroelenco3">
    <w:name w:val="List Number 3"/>
    <w:basedOn w:val="Normale"/>
    <w:rsid w:val="00C55238"/>
    <w:pPr>
      <w:tabs>
        <w:tab w:val="num" w:pos="926"/>
      </w:tabs>
      <w:ind w:left="926" w:hanging="360"/>
      <w:contextualSpacing/>
    </w:pPr>
  </w:style>
  <w:style w:type="paragraph" w:styleId="Numeroelenco4">
    <w:name w:val="List Number 4"/>
    <w:basedOn w:val="Normale"/>
    <w:uiPriority w:val="99"/>
    <w:rsid w:val="00C55238"/>
    <w:pPr>
      <w:tabs>
        <w:tab w:val="num" w:pos="1209"/>
      </w:tabs>
      <w:ind w:left="1209" w:hanging="360"/>
      <w:contextualSpacing/>
    </w:pPr>
  </w:style>
  <w:style w:type="paragraph" w:styleId="Numeroelenco5">
    <w:name w:val="List Number 5"/>
    <w:basedOn w:val="Normale"/>
    <w:rsid w:val="00C55238"/>
    <w:pPr>
      <w:tabs>
        <w:tab w:val="num" w:pos="1492"/>
      </w:tabs>
      <w:ind w:left="1492" w:hanging="360"/>
      <w:contextualSpacing/>
    </w:pPr>
  </w:style>
  <w:style w:type="paragraph" w:styleId="Testomacro">
    <w:name w:val="macro"/>
    <w:link w:val="TestomacroCarattere"/>
    <w:uiPriority w:val="99"/>
    <w:rsid w:val="00C5523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stomacroCarattere">
    <w:name w:val="Testo macro Carattere"/>
    <w:basedOn w:val="Carpredefinitoparagrafo"/>
    <w:link w:val="Testomacro"/>
    <w:uiPriority w:val="99"/>
    <w:rsid w:val="00C55238"/>
    <w:rPr>
      <w:rFonts w:ascii="Consolas" w:hAnsi="Consolas" w:cs="Consolas"/>
      <w:sz w:val="20"/>
      <w:szCs w:val="20"/>
    </w:rPr>
  </w:style>
  <w:style w:type="table" w:styleId="Grigliamedia1">
    <w:name w:val="Medium Grid 1"/>
    <w:basedOn w:val="Tabellanormale"/>
    <w:uiPriority w:val="67"/>
    <w:rsid w:val="00C552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rsid w:val="00C55238"/>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rsid w:val="00C55238"/>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rsid w:val="00C55238"/>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rsid w:val="00C55238"/>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rsid w:val="00C55238"/>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rsid w:val="00C55238"/>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rsid w:val="00C55238"/>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rsid w:val="00C55238"/>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rsid w:val="00C55238"/>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rsid w:val="00C55238"/>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rsid w:val="00C55238"/>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rsid w:val="00C55238"/>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rsid w:val="00C55238"/>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rsid w:val="00C55238"/>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rsid w:val="00C55238"/>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rsid w:val="00C5523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C55238"/>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rsid w:val="00C55238"/>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rsid w:val="00C55238"/>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rsid w:val="00C55238"/>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rsid w:val="00C55238"/>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rsid w:val="00C55238"/>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rsid w:val="00C5523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rsid w:val="00C55238"/>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rsid w:val="00C55238"/>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rsid w:val="00C55238"/>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rsid w:val="00C552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C55238"/>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rsid w:val="00C55238"/>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rsid w:val="00C55238"/>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rsid w:val="00C55238"/>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C55238"/>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rsid w:val="00C55238"/>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rsid w:val="00C55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rsid w:val="00C55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C55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rsid w:val="00C55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rsid w:val="00C55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rsid w:val="00C55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rsid w:val="00C552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rsid w:val="00C552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rsid w:val="00C55238"/>
    <w:rPr>
      <w:rFonts w:asciiTheme="majorHAnsi" w:eastAsiaTheme="majorEastAsia" w:hAnsiTheme="majorHAnsi" w:cstheme="majorBidi"/>
      <w:sz w:val="24"/>
      <w:szCs w:val="24"/>
      <w:shd w:val="pct20" w:color="auto" w:fill="auto"/>
    </w:rPr>
  </w:style>
  <w:style w:type="paragraph" w:styleId="NormaleWeb">
    <w:name w:val="Normal (Web)"/>
    <w:basedOn w:val="Normale"/>
    <w:uiPriority w:val="99"/>
    <w:rsid w:val="00C55238"/>
    <w:rPr>
      <w:rFonts w:ascii="Times New Roman" w:hAnsi="Times New Roman" w:cs="Times New Roman"/>
      <w:szCs w:val="24"/>
    </w:rPr>
  </w:style>
  <w:style w:type="paragraph" w:styleId="Rientronormale">
    <w:name w:val="Normal Indent"/>
    <w:basedOn w:val="Normale"/>
    <w:uiPriority w:val="99"/>
    <w:rsid w:val="00C55238"/>
    <w:pPr>
      <w:ind w:left="720"/>
    </w:pPr>
  </w:style>
  <w:style w:type="paragraph" w:styleId="Intestazionenota">
    <w:name w:val="Note Heading"/>
    <w:basedOn w:val="Normale"/>
    <w:next w:val="Normale"/>
    <w:link w:val="IntestazionenotaCarattere"/>
    <w:uiPriority w:val="99"/>
    <w:rsid w:val="00C55238"/>
    <w:rPr>
      <w:rFonts w:eastAsia="Times New Roman"/>
    </w:rPr>
  </w:style>
  <w:style w:type="paragraph" w:styleId="Testonormale">
    <w:name w:val="Plain Text"/>
    <w:basedOn w:val="Normale"/>
    <w:link w:val="TestonormaleCarattere"/>
    <w:uiPriority w:val="99"/>
    <w:rsid w:val="00C55238"/>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C55238"/>
    <w:rPr>
      <w:rFonts w:ascii="Consolas" w:hAnsi="Consolas" w:cs="Consolas"/>
      <w:sz w:val="21"/>
      <w:szCs w:val="21"/>
    </w:rPr>
  </w:style>
  <w:style w:type="paragraph" w:styleId="Formuladiapertura">
    <w:name w:val="Salutation"/>
    <w:basedOn w:val="Normale"/>
    <w:next w:val="Normale"/>
    <w:link w:val="FormuladiaperturaCarattere"/>
    <w:uiPriority w:val="99"/>
    <w:rsid w:val="00C55238"/>
    <w:rPr>
      <w:rFonts w:eastAsia="Times New Roman"/>
    </w:rPr>
  </w:style>
  <w:style w:type="paragraph" w:styleId="Firma">
    <w:name w:val="Signature"/>
    <w:basedOn w:val="Normale"/>
    <w:link w:val="FirmaCarattere"/>
    <w:uiPriority w:val="99"/>
    <w:rsid w:val="00C55238"/>
    <w:pPr>
      <w:ind w:left="4252"/>
    </w:pPr>
  </w:style>
  <w:style w:type="character" w:customStyle="1" w:styleId="FirmaCarattere">
    <w:name w:val="Firma Carattere"/>
    <w:basedOn w:val="Carpredefinitoparagrafo"/>
    <w:link w:val="Firma"/>
    <w:uiPriority w:val="99"/>
    <w:rsid w:val="00C55238"/>
  </w:style>
  <w:style w:type="table" w:styleId="Tabellaeffetti3D1">
    <w:name w:val="Table 3D effects 1"/>
    <w:basedOn w:val="Tabellanormale"/>
    <w:uiPriority w:val="99"/>
    <w:unhideWhenUsed/>
    <w:rsid w:val="00C552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unhideWhenUsed/>
    <w:rsid w:val="00C552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unhideWhenUsed/>
    <w:rsid w:val="00C552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unhideWhenUsed/>
    <w:rsid w:val="00C552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unhideWhenUsed/>
    <w:rsid w:val="00C552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unhideWhenUsed/>
    <w:rsid w:val="00C552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unhideWhenUsed/>
    <w:rsid w:val="00C552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unhideWhenUsed/>
    <w:rsid w:val="00C552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unhideWhenUsed/>
    <w:rsid w:val="00C552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unhideWhenUsed/>
    <w:rsid w:val="00C552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unhideWhenUsed/>
    <w:rsid w:val="00C552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unhideWhenUsed/>
    <w:rsid w:val="00C552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unhideWhenUsed/>
    <w:rsid w:val="00C552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unhideWhenUsed/>
    <w:rsid w:val="00C552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unhideWhenUsed/>
    <w:rsid w:val="00C552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unhideWhenUsed/>
    <w:rsid w:val="00C552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unhideWhenUsed/>
    <w:rsid w:val="00C552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unhideWhenUsed/>
    <w:rsid w:val="00C552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unhideWhenUsed/>
    <w:rsid w:val="00C552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unhideWhenUsed/>
    <w:rsid w:val="00C552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unhideWhenUsed/>
    <w:rsid w:val="00C552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unhideWhenUsed/>
    <w:rsid w:val="00C552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unhideWhenUsed/>
    <w:rsid w:val="00C552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unhideWhenUsed/>
    <w:rsid w:val="00C552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unhideWhenUsed/>
    <w:rsid w:val="00C552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unhideWhenUsed/>
    <w:rsid w:val="00C552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unhideWhenUsed/>
    <w:rsid w:val="00C552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unhideWhenUsed/>
    <w:rsid w:val="00C552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unhideWhenUsed/>
    <w:rsid w:val="00C552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unhideWhenUsed/>
    <w:rsid w:val="00C552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unhideWhenUsed/>
    <w:rsid w:val="00C552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unhideWhenUsed/>
    <w:rsid w:val="00C552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unhideWhenUsed/>
    <w:rsid w:val="00C552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uiPriority w:val="99"/>
    <w:unhideWhenUsed/>
    <w:rsid w:val="00C552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unhideWhenUsed/>
    <w:rsid w:val="00C552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unhideWhenUsed/>
    <w:rsid w:val="00C552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unhideWhenUsed/>
    <w:rsid w:val="00C552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unhideWhenUsed/>
    <w:rsid w:val="00C552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unhideWhenUsed/>
    <w:rsid w:val="00C552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unhideWhenUsed/>
    <w:rsid w:val="00C5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unhideWhenUsed/>
    <w:rsid w:val="00C552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unhideWhenUsed/>
    <w:rsid w:val="00C552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unhideWhenUsed/>
    <w:rsid w:val="00C552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piH1">
    <w:name w:val="Opi_H_1"/>
    <w:basedOn w:val="ECHRHeading2"/>
    <w:uiPriority w:val="42"/>
    <w:semiHidden/>
    <w:qFormat/>
    <w:rsid w:val="00313171"/>
    <w:pPr>
      <w:ind w:left="635" w:hanging="357"/>
      <w:outlineLvl w:val="2"/>
    </w:pPr>
  </w:style>
  <w:style w:type="paragraph" w:customStyle="1" w:styleId="OpiHa0">
    <w:name w:val="Opi_H_a"/>
    <w:basedOn w:val="ECHRHeading3"/>
    <w:uiPriority w:val="43"/>
    <w:semiHidden/>
    <w:qFormat/>
    <w:rsid w:val="00313171"/>
    <w:pPr>
      <w:ind w:left="833" w:hanging="357"/>
      <w:outlineLvl w:val="3"/>
    </w:pPr>
    <w:rPr>
      <w:b/>
      <w:i w:val="0"/>
      <w:sz w:val="20"/>
    </w:rPr>
  </w:style>
  <w:style w:type="paragraph" w:customStyle="1" w:styleId="OpiHi">
    <w:name w:val="Opi_H_i"/>
    <w:basedOn w:val="ECHRHeading4"/>
    <w:uiPriority w:val="44"/>
    <w:semiHidden/>
    <w:qFormat/>
    <w:rsid w:val="00313171"/>
    <w:pPr>
      <w:ind w:left="1037" w:hanging="357"/>
      <w:outlineLvl w:val="4"/>
    </w:pPr>
    <w:rPr>
      <w:b w:val="0"/>
      <w:i/>
    </w:rPr>
  </w:style>
  <w:style w:type="paragraph" w:customStyle="1" w:styleId="DummyStyle">
    <w:name w:val="Dummy_Style"/>
    <w:basedOn w:val="Normale"/>
    <w:semiHidden/>
    <w:qFormat/>
    <w:rsid w:val="00313171"/>
    <w:rPr>
      <w:color w:val="00B050"/>
      <w:lang w:bidi="en-US"/>
    </w:rPr>
  </w:style>
  <w:style w:type="paragraph" w:customStyle="1" w:styleId="JuCase">
    <w:name w:val="Ju_Case"/>
    <w:basedOn w:val="Normale"/>
    <w:next w:val="ECHRPara"/>
    <w:uiPriority w:val="10"/>
    <w:rsid w:val="00313171"/>
    <w:pPr>
      <w:ind w:firstLine="284"/>
    </w:pPr>
    <w:rPr>
      <w:b/>
    </w:rPr>
  </w:style>
  <w:style w:type="character" w:customStyle="1" w:styleId="JuHHeadChar">
    <w:name w:val="Ju_H_Head Char"/>
    <w:link w:val="ECHRTitle1"/>
    <w:uiPriority w:val="18"/>
    <w:rsid w:val="0077568A"/>
    <w:rPr>
      <w:rFonts w:asciiTheme="majorHAnsi" w:eastAsiaTheme="minorEastAsia" w:hAnsiTheme="majorHAnsi"/>
      <w:sz w:val="28"/>
    </w:rPr>
  </w:style>
  <w:style w:type="paragraph" w:styleId="Revisione">
    <w:name w:val="Revision"/>
    <w:hidden/>
    <w:uiPriority w:val="99"/>
    <w:semiHidden/>
    <w:rsid w:val="0077568A"/>
    <w:rPr>
      <w:rFonts w:eastAsiaTheme="minorEastAsia"/>
      <w:sz w:val="24"/>
    </w:rPr>
  </w:style>
  <w:style w:type="character" w:customStyle="1" w:styleId="ECHRHeading2Char">
    <w:name w:val="ECHR_Heading_2 Char"/>
    <w:aliases w:val="Head_2 Char"/>
    <w:basedOn w:val="Titolo2Carattere"/>
    <w:link w:val="ECHRHeading2"/>
    <w:uiPriority w:val="20"/>
    <w:rsid w:val="0077568A"/>
    <w:rPr>
      <w:rFonts w:asciiTheme="majorHAnsi" w:eastAsiaTheme="majorEastAsia" w:hAnsiTheme="majorHAnsi" w:cstheme="majorBidi"/>
      <w:b/>
      <w:bCs/>
      <w:color w:val="4D4D4D"/>
      <w:sz w:val="24"/>
      <w:szCs w:val="26"/>
    </w:rPr>
  </w:style>
  <w:style w:type="character" w:customStyle="1" w:styleId="ECHRTitleCentre2Char">
    <w:name w:val="ECHR_Title_Centre_2 Char"/>
    <w:aliases w:val="Title_C_2 Char"/>
    <w:basedOn w:val="Carpredefinitoparagrafo"/>
    <w:link w:val="ECHRTitleCentre2"/>
    <w:uiPriority w:val="8"/>
    <w:rsid w:val="0077568A"/>
    <w:rPr>
      <w:rFonts w:asciiTheme="majorHAnsi" w:eastAsiaTheme="minorEastAsia" w:hAnsiTheme="majorHAnsi"/>
      <w:sz w:val="24"/>
    </w:rPr>
  </w:style>
  <w:style w:type="table" w:customStyle="1" w:styleId="ECHRTable1">
    <w:name w:val="ECHR_Table1"/>
    <w:basedOn w:val="Tabellanormale"/>
    <w:rsid w:val="007B2095"/>
    <w:rPr>
      <w:rFonts w:eastAsia="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
    <w:name w:val="ECHR_Table_Box_Header1"/>
    <w:basedOn w:val="Tabellanormale"/>
    <w:rsid w:val="007B209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LtrTableAddress1">
    <w:name w:val="Ltr_Table_Address1"/>
    <w:basedOn w:val="Tabellanormale"/>
    <w:uiPriority w:val="99"/>
    <w:rsid w:val="007B2095"/>
    <w:tblPr>
      <w:tblInd w:w="5103" w:type="dxa"/>
    </w:tblPr>
  </w:style>
  <w:style w:type="table" w:customStyle="1" w:styleId="TableGrid1">
    <w:name w:val="Table Grid1"/>
    <w:basedOn w:val="Tabellanormale"/>
    <w:next w:val="Grigliatabella"/>
    <w:uiPriority w:val="59"/>
    <w:rsid w:val="007B2095"/>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GTable1">
    <w:name w:val="UG_Table1"/>
    <w:basedOn w:val="Tabellanormale"/>
    <w:uiPriority w:val="99"/>
    <w:rsid w:val="007B2095"/>
    <w:rPr>
      <w:rFonts w:eastAsia="Times New Roman"/>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ellanormale"/>
    <w:uiPriority w:val="99"/>
    <w:rsid w:val="007B2095"/>
    <w:rPr>
      <w:rFonts w:eastAsia="Times New Roman"/>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1">
    <w:name w:val="PCF_Table_Style1"/>
    <w:basedOn w:val="Tabellanormale"/>
    <w:uiPriority w:val="99"/>
    <w:rsid w:val="007B20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
    <w:name w:val="ECHR_Table_Fax1"/>
    <w:basedOn w:val="Tabellanormale"/>
    <w:uiPriority w:val="99"/>
    <w:rsid w:val="007B20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
    <w:name w:val="ECHR_Table_Memo1"/>
    <w:basedOn w:val="Tabellanormale"/>
    <w:uiPriority w:val="99"/>
    <w:rsid w:val="007B20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DNTable1">
    <w:name w:val="DN_Table1"/>
    <w:basedOn w:val="Tabellanormale"/>
    <w:uiPriority w:val="99"/>
    <w:rsid w:val="007B20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
    <w:name w:val="ECHR_Table_Simple_Box1"/>
    <w:basedOn w:val="Tabellanormale"/>
    <w:uiPriority w:val="99"/>
    <w:rsid w:val="007B20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
    <w:name w:val="ECHR_Table_No_Lines1"/>
    <w:basedOn w:val="Tabellanormale"/>
    <w:uiPriority w:val="99"/>
    <w:rsid w:val="007B20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
    <w:name w:val="ECHR_Table_For_Internal_Use1"/>
    <w:basedOn w:val="Tabellanormale"/>
    <w:uiPriority w:val="99"/>
    <w:rsid w:val="007B20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
    <w:name w:val="ECHR_List_Table1"/>
    <w:basedOn w:val="Tabellanormale"/>
    <w:uiPriority w:val="99"/>
    <w:rsid w:val="007B20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2">
    <w:name w:val="ECHR_Header_Table2"/>
    <w:basedOn w:val="Tabellanormale"/>
    <w:uiPriority w:val="99"/>
    <w:rsid w:val="007B20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TableOddBanded1">
    <w:name w:val="ECHR_Table_Odd_Banded1"/>
    <w:basedOn w:val="Tabellanormale"/>
    <w:uiPriority w:val="99"/>
    <w:rsid w:val="007B20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2">
    <w:name w:val="ECHR_Header_Table_Reduced2"/>
    <w:basedOn w:val="Tabellanormale"/>
    <w:uiPriority w:val="99"/>
    <w:rsid w:val="007B20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DarkList2">
    <w:name w:val="Dark List2"/>
    <w:basedOn w:val="Tabellanormale"/>
    <w:next w:val="Elencoscuro"/>
    <w:uiPriority w:val="99"/>
    <w:rsid w:val="007B2095"/>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olorfulGrid2">
    <w:name w:val="Colorful Grid2"/>
    <w:basedOn w:val="Tabellanormale"/>
    <w:next w:val="Grigliaacolori"/>
    <w:uiPriority w:val="99"/>
    <w:rsid w:val="007B2095"/>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ellanormale"/>
    <w:next w:val="Grigliaacolori-Colore1"/>
    <w:uiPriority w:val="73"/>
    <w:rsid w:val="007B2095"/>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2">
    <w:name w:val="Colorful Grid - Accent 22"/>
    <w:basedOn w:val="Tabellanormale"/>
    <w:next w:val="Grigliaacolori-Colore2"/>
    <w:uiPriority w:val="99"/>
    <w:rsid w:val="007B2095"/>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2">
    <w:name w:val="Colorful Grid - Accent 32"/>
    <w:basedOn w:val="Tabellanormale"/>
    <w:next w:val="Grigliaacolori-Colore3"/>
    <w:uiPriority w:val="99"/>
    <w:rsid w:val="007B2095"/>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2">
    <w:name w:val="Colorful Grid - Accent 42"/>
    <w:basedOn w:val="Tabellanormale"/>
    <w:next w:val="Grigliaacolori-Colore4"/>
    <w:uiPriority w:val="99"/>
    <w:rsid w:val="007B2095"/>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2">
    <w:name w:val="Colorful Grid - Accent 52"/>
    <w:basedOn w:val="Tabellanormale"/>
    <w:next w:val="Grigliaacolori-Colore5"/>
    <w:uiPriority w:val="73"/>
    <w:rsid w:val="007B2095"/>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2">
    <w:name w:val="Colorful Grid - Accent 62"/>
    <w:basedOn w:val="Tabellanormale"/>
    <w:next w:val="Grigliaacolori-Colore6"/>
    <w:uiPriority w:val="99"/>
    <w:rsid w:val="007B2095"/>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2">
    <w:name w:val="Colorful List2"/>
    <w:basedOn w:val="Tabellanormale"/>
    <w:next w:val="Elencoacolori"/>
    <w:uiPriority w:val="72"/>
    <w:rsid w:val="007B2095"/>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ellanormale"/>
    <w:next w:val="Elencoacolori-Colore1"/>
    <w:uiPriority w:val="99"/>
    <w:rsid w:val="007B2095"/>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2">
    <w:name w:val="Colorful List - Accent 22"/>
    <w:basedOn w:val="Tabellanormale"/>
    <w:next w:val="Elencoacolori-Colore2"/>
    <w:uiPriority w:val="72"/>
    <w:rsid w:val="007B2095"/>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2">
    <w:name w:val="Colorful List - Accent 32"/>
    <w:basedOn w:val="Tabellanormale"/>
    <w:next w:val="Elencoacolori-Colore3"/>
    <w:uiPriority w:val="99"/>
    <w:rsid w:val="007B2095"/>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2">
    <w:name w:val="Colorful List - Accent 42"/>
    <w:basedOn w:val="Tabellanormale"/>
    <w:next w:val="Elencoacolori-Colore4"/>
    <w:uiPriority w:val="99"/>
    <w:rsid w:val="007B2095"/>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2">
    <w:name w:val="Colorful List - Accent 52"/>
    <w:basedOn w:val="Tabellanormale"/>
    <w:next w:val="Elencoacolori-Colore5"/>
    <w:uiPriority w:val="99"/>
    <w:rsid w:val="007B2095"/>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2">
    <w:name w:val="Colorful List - Accent 62"/>
    <w:basedOn w:val="Tabellanormale"/>
    <w:next w:val="Elencoacolori-Colore6"/>
    <w:uiPriority w:val="72"/>
    <w:rsid w:val="007B2095"/>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2">
    <w:name w:val="Colorful Shading2"/>
    <w:basedOn w:val="Tabellanormale"/>
    <w:next w:val="Sfondoacolori"/>
    <w:uiPriority w:val="99"/>
    <w:rsid w:val="007B2095"/>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ellanormale"/>
    <w:next w:val="Sfondoacolori-Colore1"/>
    <w:uiPriority w:val="99"/>
    <w:rsid w:val="007B2095"/>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2">
    <w:name w:val="Colorful Shading - Accent 22"/>
    <w:basedOn w:val="Tabellanormale"/>
    <w:next w:val="Sfondoacolori-Colore2"/>
    <w:uiPriority w:val="99"/>
    <w:rsid w:val="007B2095"/>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2">
    <w:name w:val="Colorful Shading - Accent 32"/>
    <w:basedOn w:val="Tabellanormale"/>
    <w:next w:val="Sfondoacolori-Colore3"/>
    <w:uiPriority w:val="71"/>
    <w:rsid w:val="007B2095"/>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2">
    <w:name w:val="Colorful Shading - Accent 42"/>
    <w:basedOn w:val="Tabellanormale"/>
    <w:next w:val="Sfondoacolori-Colore4"/>
    <w:uiPriority w:val="99"/>
    <w:rsid w:val="007B2095"/>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2">
    <w:name w:val="Colorful Shading - Accent 52"/>
    <w:basedOn w:val="Tabellanormale"/>
    <w:next w:val="Sfondoacolori-Colore5"/>
    <w:uiPriority w:val="99"/>
    <w:rsid w:val="007B2095"/>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2">
    <w:name w:val="Colorful Shading - Accent 62"/>
    <w:basedOn w:val="Tabellanormale"/>
    <w:next w:val="Sfondoacolori-Colore6"/>
    <w:uiPriority w:val="99"/>
    <w:rsid w:val="007B2095"/>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Accent12">
    <w:name w:val="Dark List - Accent 12"/>
    <w:basedOn w:val="Tabellanormale"/>
    <w:next w:val="Elencoscuro-Colore1"/>
    <w:uiPriority w:val="99"/>
    <w:rsid w:val="007B2095"/>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2">
    <w:name w:val="Dark List - Accent 22"/>
    <w:basedOn w:val="Tabellanormale"/>
    <w:next w:val="Elencoscuro-Colore2"/>
    <w:uiPriority w:val="70"/>
    <w:rsid w:val="007B2095"/>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2">
    <w:name w:val="Dark List - Accent 32"/>
    <w:basedOn w:val="Tabellanormale"/>
    <w:next w:val="Elencoscuro-Colore3"/>
    <w:uiPriority w:val="99"/>
    <w:rsid w:val="007B2095"/>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2">
    <w:name w:val="Dark List - Accent 42"/>
    <w:basedOn w:val="Tabellanormale"/>
    <w:next w:val="Elencoscuro-Colore4"/>
    <w:uiPriority w:val="99"/>
    <w:rsid w:val="007B2095"/>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2">
    <w:name w:val="Dark List - Accent 52"/>
    <w:basedOn w:val="Tabellanormale"/>
    <w:next w:val="Elencoscuro-Colore5"/>
    <w:uiPriority w:val="99"/>
    <w:rsid w:val="007B2095"/>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2">
    <w:name w:val="Dark List - Accent 62"/>
    <w:basedOn w:val="Tabellanormale"/>
    <w:next w:val="Elencoscuro-Colore6"/>
    <w:uiPriority w:val="70"/>
    <w:rsid w:val="007B2095"/>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2">
    <w:name w:val="Light Grid2"/>
    <w:basedOn w:val="Tabellanormale"/>
    <w:next w:val="Grigliachiara"/>
    <w:uiPriority w:val="99"/>
    <w:rsid w:val="007B2095"/>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ellanormale"/>
    <w:next w:val="Grigliachiara-Colore1"/>
    <w:uiPriority w:val="62"/>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2">
    <w:name w:val="Light Grid - Accent 22"/>
    <w:basedOn w:val="Tabellanormale"/>
    <w:next w:val="Grigliachiara-Colore2"/>
    <w:uiPriority w:val="99"/>
    <w:rsid w:val="007B2095"/>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2">
    <w:name w:val="Light Grid - Accent 32"/>
    <w:basedOn w:val="Tabellanormale"/>
    <w:next w:val="Grigliachiara-Colore3"/>
    <w:uiPriority w:val="99"/>
    <w:rsid w:val="007B2095"/>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2">
    <w:name w:val="Light Grid - Accent 42"/>
    <w:basedOn w:val="Tabellanormale"/>
    <w:next w:val="Grigliachiara-Colore4"/>
    <w:uiPriority w:val="99"/>
    <w:rsid w:val="007B2095"/>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2">
    <w:name w:val="Light Grid - Accent 52"/>
    <w:basedOn w:val="Tabellanormale"/>
    <w:next w:val="Grigliachiara-Colore5"/>
    <w:uiPriority w:val="62"/>
    <w:rsid w:val="007B2095"/>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2">
    <w:name w:val="Light Grid - Accent 62"/>
    <w:basedOn w:val="Tabellanormale"/>
    <w:next w:val="Grigliachiara-Colore6"/>
    <w:uiPriority w:val="99"/>
    <w:rsid w:val="007B2095"/>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2">
    <w:name w:val="Light List2"/>
    <w:basedOn w:val="Tabellanormale"/>
    <w:next w:val="Elencochiaro"/>
    <w:uiPriority w:val="61"/>
    <w:rsid w:val="007B2095"/>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ellanormale"/>
    <w:next w:val="Elencochiaro-Colore1"/>
    <w:uiPriority w:val="99"/>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2">
    <w:name w:val="Light List - Accent 22"/>
    <w:basedOn w:val="Tabellanormale"/>
    <w:next w:val="Elencochiaro-Colore2"/>
    <w:uiPriority w:val="61"/>
    <w:rsid w:val="007B2095"/>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2">
    <w:name w:val="Light List - Accent 32"/>
    <w:basedOn w:val="Tabellanormale"/>
    <w:next w:val="Elencochiaro-Colore3"/>
    <w:uiPriority w:val="99"/>
    <w:rsid w:val="007B2095"/>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2">
    <w:name w:val="Light List - Accent 42"/>
    <w:basedOn w:val="Tabellanormale"/>
    <w:next w:val="Elencochiaro-Colore4"/>
    <w:uiPriority w:val="99"/>
    <w:rsid w:val="007B2095"/>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2">
    <w:name w:val="Light List - Accent 52"/>
    <w:basedOn w:val="Tabellanormale"/>
    <w:next w:val="Elencochiaro-Colore5"/>
    <w:uiPriority w:val="99"/>
    <w:rsid w:val="007B2095"/>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2">
    <w:name w:val="Light List - Accent 62"/>
    <w:basedOn w:val="Tabellanormale"/>
    <w:next w:val="Elencochiaro-Colore6"/>
    <w:uiPriority w:val="61"/>
    <w:rsid w:val="007B2095"/>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2">
    <w:name w:val="Light Shading2"/>
    <w:basedOn w:val="Tabellanormale"/>
    <w:next w:val="Sfondochiaro"/>
    <w:uiPriority w:val="99"/>
    <w:rsid w:val="007B2095"/>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ellanormale"/>
    <w:next w:val="Sfondochiaro-Colore1"/>
    <w:uiPriority w:val="99"/>
    <w:rsid w:val="007B2095"/>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2">
    <w:name w:val="Light Shading - Accent 22"/>
    <w:basedOn w:val="Tabellanormale"/>
    <w:next w:val="Sfondochiaro-Colore2"/>
    <w:uiPriority w:val="99"/>
    <w:rsid w:val="007B2095"/>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2">
    <w:name w:val="Light Shading - Accent 32"/>
    <w:basedOn w:val="Tabellanormale"/>
    <w:next w:val="Sfondochiaro-Colore3"/>
    <w:uiPriority w:val="60"/>
    <w:rsid w:val="007B2095"/>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2">
    <w:name w:val="Light Shading - Accent 42"/>
    <w:basedOn w:val="Tabellanormale"/>
    <w:next w:val="Sfondochiaro-Colore4"/>
    <w:uiPriority w:val="99"/>
    <w:rsid w:val="007B2095"/>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2">
    <w:name w:val="Light Shading - Accent 52"/>
    <w:basedOn w:val="Tabellanormale"/>
    <w:next w:val="Sfondochiaro-Colore5"/>
    <w:uiPriority w:val="99"/>
    <w:rsid w:val="007B2095"/>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2">
    <w:name w:val="Light Shading - Accent 62"/>
    <w:basedOn w:val="Tabellanormale"/>
    <w:next w:val="Sfondochiaro-Colore6"/>
    <w:uiPriority w:val="99"/>
    <w:rsid w:val="007B2095"/>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2">
    <w:name w:val="Medium Grid 12"/>
    <w:basedOn w:val="Tabellanormale"/>
    <w:next w:val="Grigliamedia1"/>
    <w:uiPriority w:val="67"/>
    <w:rsid w:val="007B2095"/>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ellanormale"/>
    <w:next w:val="Grigliamedia1-Colore1"/>
    <w:uiPriority w:val="99"/>
    <w:rsid w:val="007B2095"/>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2">
    <w:name w:val="Medium Grid 1 - Accent 22"/>
    <w:basedOn w:val="Tabellanormale"/>
    <w:next w:val="Grigliamedia1-Colore2"/>
    <w:uiPriority w:val="99"/>
    <w:rsid w:val="007B2095"/>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2">
    <w:name w:val="Medium Grid 1 - Accent 32"/>
    <w:basedOn w:val="Tabellanormale"/>
    <w:next w:val="Grigliamedia1-Colore3"/>
    <w:uiPriority w:val="99"/>
    <w:rsid w:val="007B2095"/>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2">
    <w:name w:val="Medium Grid 1 - Accent 42"/>
    <w:basedOn w:val="Tabellanormale"/>
    <w:next w:val="Grigliamedia1-Colore4"/>
    <w:uiPriority w:val="67"/>
    <w:rsid w:val="007B2095"/>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2">
    <w:name w:val="Medium Grid 1 - Accent 52"/>
    <w:basedOn w:val="Tabellanormale"/>
    <w:next w:val="Grigliamedia1-Colore5"/>
    <w:uiPriority w:val="99"/>
    <w:rsid w:val="007B2095"/>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2">
    <w:name w:val="Medium Grid 1 - Accent 62"/>
    <w:basedOn w:val="Tabellanormale"/>
    <w:next w:val="Grigliamedia1-Colore6"/>
    <w:uiPriority w:val="67"/>
    <w:rsid w:val="007B2095"/>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2">
    <w:name w:val="Medium Grid 22"/>
    <w:basedOn w:val="Tabellanormale"/>
    <w:next w:val="Grigliamedia2"/>
    <w:uiPriority w:val="99"/>
    <w:rsid w:val="007B2095"/>
    <w:rPr>
      <w:rFonts w:eastAsia="Times New Roman" w:cs="Times New Roman"/>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2">
    <w:name w:val="Medium Grid 2 - Accent 12"/>
    <w:basedOn w:val="Tabellanormale"/>
    <w:next w:val="Grigliamedia2-Colore1"/>
    <w:uiPriority w:val="68"/>
    <w:rsid w:val="007B2095"/>
    <w:rPr>
      <w:rFonts w:eastAsia="Times New Roman" w:cs="Times New Roman"/>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2">
    <w:name w:val="Medium Grid 2 - Accent 22"/>
    <w:basedOn w:val="Tabellanormale"/>
    <w:next w:val="Grigliamedia2-Colore2"/>
    <w:uiPriority w:val="99"/>
    <w:rsid w:val="007B2095"/>
    <w:rPr>
      <w:rFonts w:eastAsia="Times New Roman" w:cs="Times New Roman"/>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2">
    <w:name w:val="Medium Grid 2 - Accent 32"/>
    <w:basedOn w:val="Tabellanormale"/>
    <w:next w:val="Grigliamedia2-Colore3"/>
    <w:uiPriority w:val="99"/>
    <w:rsid w:val="007B2095"/>
    <w:rPr>
      <w:rFonts w:eastAsia="Times New Roman" w:cs="Times New Roman"/>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2">
    <w:name w:val="Medium Grid 2 - Accent 42"/>
    <w:basedOn w:val="Tabellanormale"/>
    <w:next w:val="Grigliamedia2-Colore4"/>
    <w:uiPriority w:val="99"/>
    <w:rsid w:val="007B2095"/>
    <w:rPr>
      <w:rFonts w:eastAsia="Times New Roman" w:cs="Times New Roman"/>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2">
    <w:name w:val="Medium Grid 2 - Accent 52"/>
    <w:basedOn w:val="Tabellanormale"/>
    <w:next w:val="Grigliamedia2-Colore5"/>
    <w:uiPriority w:val="68"/>
    <w:rsid w:val="007B2095"/>
    <w:rPr>
      <w:rFonts w:eastAsia="Times New Roman" w:cs="Times New Roman"/>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2">
    <w:name w:val="Medium Grid 2 - Accent 62"/>
    <w:basedOn w:val="Tabellanormale"/>
    <w:next w:val="Grigliamedia2-Colore6"/>
    <w:uiPriority w:val="99"/>
    <w:rsid w:val="007B2095"/>
    <w:rPr>
      <w:rFonts w:eastAsia="Times New Roman" w:cs="Times New Roman"/>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2">
    <w:name w:val="Medium Grid 32"/>
    <w:basedOn w:val="Tabellanormale"/>
    <w:next w:val="Grigliamedia3"/>
    <w:uiPriority w:val="99"/>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2">
    <w:name w:val="Medium Grid 3 - Accent 12"/>
    <w:basedOn w:val="Tabellanormale"/>
    <w:next w:val="Grigliamedia3-Colore1"/>
    <w:uiPriority w:val="99"/>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2">
    <w:name w:val="Medium Grid 3 - Accent 22"/>
    <w:basedOn w:val="Tabellanormale"/>
    <w:next w:val="Grigliamedia3-Colore2"/>
    <w:uiPriority w:val="69"/>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2">
    <w:name w:val="Medium Grid 3 - Accent 32"/>
    <w:basedOn w:val="Tabellanormale"/>
    <w:next w:val="Grigliamedia3-Colore3"/>
    <w:uiPriority w:val="99"/>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2">
    <w:name w:val="Medium Grid 3 - Accent 42"/>
    <w:basedOn w:val="Tabellanormale"/>
    <w:next w:val="Grigliamedia3-Colore4"/>
    <w:uiPriority w:val="99"/>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2">
    <w:name w:val="Medium Grid 3 - Accent 52"/>
    <w:basedOn w:val="Tabellanormale"/>
    <w:next w:val="Grigliamedia3-Colore5"/>
    <w:uiPriority w:val="99"/>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2">
    <w:name w:val="Medium Grid 3 - Accent 62"/>
    <w:basedOn w:val="Tabellanormale"/>
    <w:next w:val="Grigliamedia3-Colore6"/>
    <w:uiPriority w:val="69"/>
    <w:rsid w:val="007B2095"/>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2">
    <w:name w:val="Medium List 12"/>
    <w:basedOn w:val="Tabellanormale"/>
    <w:next w:val="Elencomedio1"/>
    <w:uiPriority w:val="99"/>
    <w:rsid w:val="007B2095"/>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ellanormale"/>
    <w:next w:val="Elencomedio1-Colore1"/>
    <w:uiPriority w:val="65"/>
    <w:rsid w:val="007B2095"/>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2">
    <w:name w:val="Medium List 1 - Accent 22"/>
    <w:basedOn w:val="Tabellanormale"/>
    <w:next w:val="Elencomedio1-Colore2"/>
    <w:uiPriority w:val="99"/>
    <w:rsid w:val="007B2095"/>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2">
    <w:name w:val="Medium List 1 - Accent 32"/>
    <w:basedOn w:val="Tabellanormale"/>
    <w:next w:val="Elencomedio1-Colore3"/>
    <w:uiPriority w:val="65"/>
    <w:rsid w:val="007B2095"/>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2">
    <w:name w:val="Medium List 1 - Accent 42"/>
    <w:basedOn w:val="Tabellanormale"/>
    <w:next w:val="Elencomedio1-Colore4"/>
    <w:uiPriority w:val="99"/>
    <w:rsid w:val="007B2095"/>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2">
    <w:name w:val="Medium List 1 - Accent 52"/>
    <w:basedOn w:val="Tabellanormale"/>
    <w:next w:val="Elencomedio1-Colore5"/>
    <w:uiPriority w:val="99"/>
    <w:rsid w:val="007B2095"/>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2">
    <w:name w:val="Medium List 1 - Accent 62"/>
    <w:basedOn w:val="Tabellanormale"/>
    <w:next w:val="Elencomedio1-Colore6"/>
    <w:uiPriority w:val="99"/>
    <w:rsid w:val="007B2095"/>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2">
    <w:name w:val="Medium List 22"/>
    <w:basedOn w:val="Tabellanormale"/>
    <w:next w:val="Elencomedio2"/>
    <w:uiPriority w:val="66"/>
    <w:rsid w:val="007B2095"/>
    <w:rPr>
      <w:rFonts w:eastAsia="Times New Roman" w:cs="Times New Roman"/>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2">
    <w:name w:val="Medium List 2 - Accent 12"/>
    <w:basedOn w:val="Tabellanormale"/>
    <w:next w:val="Elencomedio2-Colore1"/>
    <w:uiPriority w:val="99"/>
    <w:rsid w:val="007B2095"/>
    <w:rPr>
      <w:rFonts w:eastAsia="Times New Roman" w:cs="Times New Roman"/>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2">
    <w:name w:val="Medium List 2 - Accent 22"/>
    <w:basedOn w:val="Tabellanormale"/>
    <w:next w:val="Elencomedio2-Colore2"/>
    <w:uiPriority w:val="66"/>
    <w:rsid w:val="007B2095"/>
    <w:rPr>
      <w:rFonts w:eastAsia="Times New Roman" w:cs="Times New Roman"/>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2">
    <w:name w:val="Medium List 2 - Accent 32"/>
    <w:basedOn w:val="Tabellanormale"/>
    <w:next w:val="Elencomedio2-Colore3"/>
    <w:uiPriority w:val="99"/>
    <w:rsid w:val="007B2095"/>
    <w:rPr>
      <w:rFonts w:eastAsia="Times New Roman" w:cs="Times New Roman"/>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2">
    <w:name w:val="Medium List 2 - Accent 42"/>
    <w:basedOn w:val="Tabellanormale"/>
    <w:next w:val="Elencomedio2-Colore4"/>
    <w:uiPriority w:val="66"/>
    <w:rsid w:val="007B2095"/>
    <w:rPr>
      <w:rFonts w:eastAsia="Times New Roman" w:cs="Times New Roman"/>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2">
    <w:name w:val="Medium List 2 - Accent 52"/>
    <w:basedOn w:val="Tabellanormale"/>
    <w:next w:val="Elencomedio2-Colore5"/>
    <w:uiPriority w:val="99"/>
    <w:rsid w:val="007B2095"/>
    <w:rPr>
      <w:rFonts w:eastAsia="Times New Roman" w:cs="Times New Roman"/>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2">
    <w:name w:val="Medium List 2 - Accent 62"/>
    <w:basedOn w:val="Tabellanormale"/>
    <w:next w:val="Elencomedio2-Colore6"/>
    <w:uiPriority w:val="99"/>
    <w:rsid w:val="007B2095"/>
    <w:rPr>
      <w:rFonts w:eastAsia="Times New Roman" w:cs="Times New Roman"/>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2">
    <w:name w:val="Medium Shading 12"/>
    <w:basedOn w:val="Tabellanormale"/>
    <w:next w:val="Sfondomedio1"/>
    <w:uiPriority w:val="99"/>
    <w:rsid w:val="007B2095"/>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ellanormale"/>
    <w:next w:val="Sfondomedio1-Colore1"/>
    <w:uiPriority w:val="63"/>
    <w:rsid w:val="007B2095"/>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2">
    <w:name w:val="Medium Shading 1 - Accent 22"/>
    <w:basedOn w:val="Tabellanormale"/>
    <w:next w:val="Sfondomedio1-Colore2"/>
    <w:uiPriority w:val="99"/>
    <w:rsid w:val="007B2095"/>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2">
    <w:name w:val="Medium Shading 1 - Accent 32"/>
    <w:basedOn w:val="Tabellanormale"/>
    <w:next w:val="Sfondomedio1-Colore3"/>
    <w:uiPriority w:val="63"/>
    <w:rsid w:val="007B2095"/>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2">
    <w:name w:val="Medium Shading 1 - Accent 42"/>
    <w:basedOn w:val="Tabellanormale"/>
    <w:next w:val="Sfondomedio1-Colore4"/>
    <w:uiPriority w:val="99"/>
    <w:rsid w:val="007B2095"/>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2">
    <w:name w:val="Medium Shading 1 - Accent 52"/>
    <w:basedOn w:val="Tabellanormale"/>
    <w:next w:val="Sfondomedio1-Colore5"/>
    <w:uiPriority w:val="63"/>
    <w:rsid w:val="007B2095"/>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2">
    <w:name w:val="Medium Shading 1 - Accent 62"/>
    <w:basedOn w:val="Tabellanormale"/>
    <w:next w:val="Sfondomedio1-Colore6"/>
    <w:uiPriority w:val="99"/>
    <w:rsid w:val="007B2095"/>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2">
    <w:name w:val="Medium Shading 22"/>
    <w:basedOn w:val="Tabellanormale"/>
    <w:next w:val="Sfondomedio2"/>
    <w:uiPriority w:val="99"/>
    <w:rsid w:val="007B209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ellanormale"/>
    <w:next w:val="Sfondomedio2-Colore1"/>
    <w:uiPriority w:val="99"/>
    <w:rsid w:val="007B209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ellanormale"/>
    <w:next w:val="Sfondomedio2-Colore2"/>
    <w:uiPriority w:val="64"/>
    <w:rsid w:val="007B209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ellanormale"/>
    <w:next w:val="Sfondomedio2-Colore3"/>
    <w:uiPriority w:val="99"/>
    <w:rsid w:val="007B209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ellanormale"/>
    <w:next w:val="Sfondomedio2-Colore4"/>
    <w:uiPriority w:val="99"/>
    <w:rsid w:val="007B209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ellanormale"/>
    <w:next w:val="Sfondomedio2-Colore5"/>
    <w:uiPriority w:val="99"/>
    <w:rsid w:val="007B209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ellanormale"/>
    <w:next w:val="Sfondomedio2-Colore6"/>
    <w:uiPriority w:val="64"/>
    <w:rsid w:val="007B209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ellanormale"/>
    <w:next w:val="Tabellaeffetti3D1"/>
    <w:uiPriority w:val="99"/>
    <w:rsid w:val="007B2095"/>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ellanormale"/>
    <w:next w:val="Tabellaeffetti3D2"/>
    <w:uiPriority w:val="99"/>
    <w:rsid w:val="007B2095"/>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ellanormale"/>
    <w:next w:val="Tabellaeffetti3D3"/>
    <w:uiPriority w:val="99"/>
    <w:rsid w:val="007B2095"/>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ellanormale"/>
    <w:next w:val="Tabellaclassica1"/>
    <w:uiPriority w:val="99"/>
    <w:rsid w:val="007B2095"/>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ellanormale"/>
    <w:next w:val="Tabellaclassica2"/>
    <w:uiPriority w:val="99"/>
    <w:rsid w:val="007B2095"/>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ellanormale"/>
    <w:next w:val="Tabellaclassica3"/>
    <w:uiPriority w:val="99"/>
    <w:rsid w:val="007B2095"/>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ellanormale"/>
    <w:next w:val="Tabellaclassica4"/>
    <w:uiPriority w:val="99"/>
    <w:rsid w:val="007B2095"/>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ellanormale"/>
    <w:next w:val="Tabellaacolori1"/>
    <w:uiPriority w:val="99"/>
    <w:rsid w:val="007B2095"/>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ellanormale"/>
    <w:next w:val="Tabellaacolori2"/>
    <w:uiPriority w:val="99"/>
    <w:rsid w:val="007B2095"/>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ellanormale"/>
    <w:next w:val="Tabellaacolori3"/>
    <w:uiPriority w:val="99"/>
    <w:rsid w:val="007B2095"/>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ellanormale"/>
    <w:next w:val="Tabellacolonne1"/>
    <w:uiPriority w:val="99"/>
    <w:rsid w:val="007B2095"/>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ellanormale"/>
    <w:next w:val="Tabellacolonne2"/>
    <w:uiPriority w:val="99"/>
    <w:rsid w:val="007B2095"/>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ellanormale"/>
    <w:next w:val="Tabellacolonne3"/>
    <w:uiPriority w:val="99"/>
    <w:rsid w:val="007B2095"/>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ellanormale"/>
    <w:next w:val="Tabellacolonne4"/>
    <w:uiPriority w:val="99"/>
    <w:rsid w:val="007B2095"/>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ellanormale"/>
    <w:next w:val="Tabellacolonne5"/>
    <w:uiPriority w:val="99"/>
    <w:rsid w:val="007B2095"/>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ellanormale"/>
    <w:next w:val="Tabellacontemporanea"/>
    <w:uiPriority w:val="99"/>
    <w:rsid w:val="007B2095"/>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ellanormale"/>
    <w:next w:val="Tabellaelegante"/>
    <w:uiPriority w:val="99"/>
    <w:rsid w:val="007B2095"/>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ellanormale"/>
    <w:next w:val="Grigliatabella1"/>
    <w:uiPriority w:val="99"/>
    <w:rsid w:val="007B2095"/>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ellanormale"/>
    <w:next w:val="Grigliatabella2"/>
    <w:uiPriority w:val="99"/>
    <w:rsid w:val="007B2095"/>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ellanormale"/>
    <w:next w:val="Grigliatabella3"/>
    <w:uiPriority w:val="99"/>
    <w:rsid w:val="007B2095"/>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ellanormale"/>
    <w:next w:val="Grigliatabella4"/>
    <w:uiPriority w:val="99"/>
    <w:rsid w:val="007B2095"/>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ellanormale"/>
    <w:next w:val="Grigliatabella5"/>
    <w:uiPriority w:val="99"/>
    <w:rsid w:val="007B2095"/>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ellanormale"/>
    <w:next w:val="Grigliatabella6"/>
    <w:uiPriority w:val="99"/>
    <w:rsid w:val="007B2095"/>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ellanormale"/>
    <w:next w:val="Grigliatabella7"/>
    <w:uiPriority w:val="99"/>
    <w:rsid w:val="007B2095"/>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ellanormale"/>
    <w:next w:val="Grigliatabella8"/>
    <w:uiPriority w:val="99"/>
    <w:rsid w:val="007B2095"/>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ellanormale"/>
    <w:next w:val="Elencotabella1"/>
    <w:uiPriority w:val="99"/>
    <w:rsid w:val="007B2095"/>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ellanormale"/>
    <w:next w:val="Elencotabella2"/>
    <w:uiPriority w:val="99"/>
    <w:rsid w:val="007B2095"/>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ellanormale"/>
    <w:next w:val="Elencotabella3"/>
    <w:uiPriority w:val="99"/>
    <w:rsid w:val="007B2095"/>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ellanormale"/>
    <w:next w:val="Elencotabella4"/>
    <w:uiPriority w:val="99"/>
    <w:rsid w:val="007B2095"/>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ellanormale"/>
    <w:next w:val="Elencotabella5"/>
    <w:uiPriority w:val="99"/>
    <w:rsid w:val="007B2095"/>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ellanormale"/>
    <w:next w:val="Elencotabella6"/>
    <w:uiPriority w:val="99"/>
    <w:rsid w:val="007B2095"/>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ellanormale"/>
    <w:next w:val="Elencotabella7"/>
    <w:uiPriority w:val="99"/>
    <w:rsid w:val="007B2095"/>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ellanormale"/>
    <w:next w:val="Elencotabella8"/>
    <w:uiPriority w:val="99"/>
    <w:rsid w:val="007B2095"/>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ellanormale"/>
    <w:next w:val="Tabellaprofessionale"/>
    <w:uiPriority w:val="99"/>
    <w:rsid w:val="007B2095"/>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ellanormale"/>
    <w:next w:val="Tabellasemplice1"/>
    <w:uiPriority w:val="99"/>
    <w:rsid w:val="007B2095"/>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ellanormale"/>
    <w:next w:val="Tabellasemplice2"/>
    <w:uiPriority w:val="99"/>
    <w:rsid w:val="007B2095"/>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ellanormale"/>
    <w:next w:val="Tabellasemplice3"/>
    <w:uiPriority w:val="99"/>
    <w:rsid w:val="007B2095"/>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ellanormale"/>
    <w:next w:val="Tabellaconombreggiatura1"/>
    <w:uiPriority w:val="99"/>
    <w:rsid w:val="007B2095"/>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ellanormale"/>
    <w:next w:val="Tabellaconombreggiatura2"/>
    <w:uiPriority w:val="99"/>
    <w:rsid w:val="007B2095"/>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ellanormale"/>
    <w:next w:val="Tabellatema"/>
    <w:uiPriority w:val="99"/>
    <w:rsid w:val="007B209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ellanormale"/>
    <w:next w:val="TabellaWeb1"/>
    <w:uiPriority w:val="99"/>
    <w:rsid w:val="007B2095"/>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ellanormale"/>
    <w:next w:val="TabellaWeb2"/>
    <w:uiPriority w:val="99"/>
    <w:rsid w:val="007B2095"/>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ellanormale"/>
    <w:next w:val="TabellaWeb3"/>
    <w:uiPriority w:val="99"/>
    <w:rsid w:val="007B2095"/>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1147">
      <w:bodyDiv w:val="1"/>
      <w:marLeft w:val="0"/>
      <w:marRight w:val="0"/>
      <w:marTop w:val="0"/>
      <w:marBottom w:val="0"/>
      <w:divBdr>
        <w:top w:val="none" w:sz="0" w:space="0" w:color="auto"/>
        <w:left w:val="none" w:sz="0" w:space="0" w:color="auto"/>
        <w:bottom w:val="none" w:sz="0" w:space="0" w:color="auto"/>
        <w:right w:val="none" w:sz="0" w:space="0" w:color="auto"/>
      </w:divBdr>
      <w:divsChild>
        <w:div w:id="232666359">
          <w:marLeft w:val="0"/>
          <w:marRight w:val="0"/>
          <w:marTop w:val="0"/>
          <w:marBottom w:val="0"/>
          <w:divBdr>
            <w:top w:val="none" w:sz="0" w:space="0" w:color="auto"/>
            <w:left w:val="none" w:sz="0" w:space="0" w:color="auto"/>
            <w:bottom w:val="none" w:sz="0" w:space="0" w:color="auto"/>
            <w:right w:val="none" w:sz="0" w:space="0" w:color="auto"/>
          </w:divBdr>
          <w:divsChild>
            <w:div w:id="534008304">
              <w:marLeft w:val="0"/>
              <w:marRight w:val="0"/>
              <w:marTop w:val="0"/>
              <w:marBottom w:val="0"/>
              <w:divBdr>
                <w:top w:val="none" w:sz="0" w:space="0" w:color="auto"/>
                <w:left w:val="none" w:sz="0" w:space="0" w:color="auto"/>
                <w:bottom w:val="none" w:sz="0" w:space="0" w:color="auto"/>
                <w:right w:val="none" w:sz="0" w:space="0" w:color="auto"/>
              </w:divBdr>
              <w:divsChild>
                <w:div w:id="1222063098">
                  <w:marLeft w:val="0"/>
                  <w:marRight w:val="0"/>
                  <w:marTop w:val="0"/>
                  <w:marBottom w:val="0"/>
                  <w:divBdr>
                    <w:top w:val="none" w:sz="0" w:space="0" w:color="auto"/>
                    <w:left w:val="none" w:sz="0" w:space="0" w:color="auto"/>
                    <w:bottom w:val="none" w:sz="0" w:space="0" w:color="auto"/>
                    <w:right w:val="none" w:sz="0" w:space="0" w:color="auto"/>
                  </w:divBdr>
                  <w:divsChild>
                    <w:div w:id="1598976393">
                      <w:marLeft w:val="0"/>
                      <w:marRight w:val="0"/>
                      <w:marTop w:val="0"/>
                      <w:marBottom w:val="0"/>
                      <w:divBdr>
                        <w:top w:val="none" w:sz="0" w:space="0" w:color="auto"/>
                        <w:left w:val="none" w:sz="0" w:space="0" w:color="auto"/>
                        <w:bottom w:val="none" w:sz="0" w:space="0" w:color="auto"/>
                        <w:right w:val="none" w:sz="0" w:space="0" w:color="auto"/>
                      </w:divBdr>
                      <w:divsChild>
                        <w:div w:id="503516684">
                          <w:marLeft w:val="0"/>
                          <w:marRight w:val="0"/>
                          <w:marTop w:val="0"/>
                          <w:marBottom w:val="0"/>
                          <w:divBdr>
                            <w:top w:val="none" w:sz="0" w:space="0" w:color="auto"/>
                            <w:left w:val="none" w:sz="0" w:space="0" w:color="auto"/>
                            <w:bottom w:val="none" w:sz="0" w:space="0" w:color="auto"/>
                            <w:right w:val="none" w:sz="0" w:space="0" w:color="auto"/>
                          </w:divBdr>
                          <w:divsChild>
                            <w:div w:id="8419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80994">
      <w:bodyDiv w:val="1"/>
      <w:marLeft w:val="0"/>
      <w:marRight w:val="0"/>
      <w:marTop w:val="0"/>
      <w:marBottom w:val="0"/>
      <w:divBdr>
        <w:top w:val="none" w:sz="0" w:space="0" w:color="auto"/>
        <w:left w:val="none" w:sz="0" w:space="0" w:color="auto"/>
        <w:bottom w:val="none" w:sz="0" w:space="0" w:color="auto"/>
        <w:right w:val="none" w:sz="0" w:space="0" w:color="auto"/>
      </w:divBdr>
      <w:divsChild>
        <w:div w:id="1268465395">
          <w:marLeft w:val="0"/>
          <w:marRight w:val="0"/>
          <w:marTop w:val="0"/>
          <w:marBottom w:val="0"/>
          <w:divBdr>
            <w:top w:val="none" w:sz="0" w:space="0" w:color="auto"/>
            <w:left w:val="none" w:sz="0" w:space="0" w:color="auto"/>
            <w:bottom w:val="none" w:sz="0" w:space="0" w:color="auto"/>
            <w:right w:val="none" w:sz="0" w:space="0" w:color="auto"/>
          </w:divBdr>
          <w:divsChild>
            <w:div w:id="299501911">
              <w:marLeft w:val="0"/>
              <w:marRight w:val="0"/>
              <w:marTop w:val="0"/>
              <w:marBottom w:val="0"/>
              <w:divBdr>
                <w:top w:val="none" w:sz="0" w:space="0" w:color="auto"/>
                <w:left w:val="none" w:sz="0" w:space="0" w:color="auto"/>
                <w:bottom w:val="none" w:sz="0" w:space="0" w:color="auto"/>
                <w:right w:val="none" w:sz="0" w:space="0" w:color="auto"/>
              </w:divBdr>
              <w:divsChild>
                <w:div w:id="40062955">
                  <w:marLeft w:val="0"/>
                  <w:marRight w:val="0"/>
                  <w:marTop w:val="0"/>
                  <w:marBottom w:val="0"/>
                  <w:divBdr>
                    <w:top w:val="none" w:sz="0" w:space="0" w:color="auto"/>
                    <w:left w:val="none" w:sz="0" w:space="0" w:color="auto"/>
                    <w:bottom w:val="none" w:sz="0" w:space="0" w:color="auto"/>
                    <w:right w:val="none" w:sz="0" w:space="0" w:color="auto"/>
                  </w:divBdr>
                  <w:divsChild>
                    <w:div w:id="157308514">
                      <w:marLeft w:val="0"/>
                      <w:marRight w:val="0"/>
                      <w:marTop w:val="0"/>
                      <w:marBottom w:val="0"/>
                      <w:divBdr>
                        <w:top w:val="none" w:sz="0" w:space="0" w:color="auto"/>
                        <w:left w:val="none" w:sz="0" w:space="0" w:color="auto"/>
                        <w:bottom w:val="none" w:sz="0" w:space="0" w:color="auto"/>
                        <w:right w:val="none" w:sz="0" w:space="0" w:color="auto"/>
                      </w:divBdr>
                      <w:divsChild>
                        <w:div w:id="419568355">
                          <w:marLeft w:val="0"/>
                          <w:marRight w:val="0"/>
                          <w:marTop w:val="0"/>
                          <w:marBottom w:val="0"/>
                          <w:divBdr>
                            <w:top w:val="none" w:sz="0" w:space="0" w:color="auto"/>
                            <w:left w:val="none" w:sz="0" w:space="0" w:color="auto"/>
                            <w:bottom w:val="none" w:sz="0" w:space="0" w:color="auto"/>
                            <w:right w:val="none" w:sz="0" w:space="0" w:color="auto"/>
                          </w:divBdr>
                          <w:divsChild>
                            <w:div w:id="10762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29123">
      <w:bodyDiv w:val="1"/>
      <w:marLeft w:val="0"/>
      <w:marRight w:val="0"/>
      <w:marTop w:val="0"/>
      <w:marBottom w:val="0"/>
      <w:divBdr>
        <w:top w:val="none" w:sz="0" w:space="0" w:color="auto"/>
        <w:left w:val="none" w:sz="0" w:space="0" w:color="auto"/>
        <w:bottom w:val="none" w:sz="0" w:space="0" w:color="auto"/>
        <w:right w:val="none" w:sz="0" w:space="0" w:color="auto"/>
      </w:divBdr>
      <w:divsChild>
        <w:div w:id="1032926320">
          <w:marLeft w:val="0"/>
          <w:marRight w:val="0"/>
          <w:marTop w:val="0"/>
          <w:marBottom w:val="0"/>
          <w:divBdr>
            <w:top w:val="none" w:sz="0" w:space="0" w:color="auto"/>
            <w:left w:val="none" w:sz="0" w:space="0" w:color="auto"/>
            <w:bottom w:val="none" w:sz="0" w:space="0" w:color="auto"/>
            <w:right w:val="none" w:sz="0" w:space="0" w:color="auto"/>
          </w:divBdr>
          <w:divsChild>
            <w:div w:id="1905069375">
              <w:marLeft w:val="0"/>
              <w:marRight w:val="0"/>
              <w:marTop w:val="0"/>
              <w:marBottom w:val="0"/>
              <w:divBdr>
                <w:top w:val="none" w:sz="0" w:space="0" w:color="auto"/>
                <w:left w:val="none" w:sz="0" w:space="0" w:color="auto"/>
                <w:bottom w:val="none" w:sz="0" w:space="0" w:color="auto"/>
                <w:right w:val="none" w:sz="0" w:space="0" w:color="auto"/>
              </w:divBdr>
              <w:divsChild>
                <w:div w:id="862279279">
                  <w:marLeft w:val="0"/>
                  <w:marRight w:val="0"/>
                  <w:marTop w:val="0"/>
                  <w:marBottom w:val="0"/>
                  <w:divBdr>
                    <w:top w:val="none" w:sz="0" w:space="0" w:color="auto"/>
                    <w:left w:val="none" w:sz="0" w:space="0" w:color="auto"/>
                    <w:bottom w:val="none" w:sz="0" w:space="0" w:color="auto"/>
                    <w:right w:val="none" w:sz="0" w:space="0" w:color="auto"/>
                  </w:divBdr>
                  <w:divsChild>
                    <w:div w:id="2102949988">
                      <w:marLeft w:val="0"/>
                      <w:marRight w:val="0"/>
                      <w:marTop w:val="0"/>
                      <w:marBottom w:val="0"/>
                      <w:divBdr>
                        <w:top w:val="none" w:sz="0" w:space="0" w:color="auto"/>
                        <w:left w:val="none" w:sz="0" w:space="0" w:color="auto"/>
                        <w:bottom w:val="none" w:sz="0" w:space="0" w:color="auto"/>
                        <w:right w:val="none" w:sz="0" w:space="0" w:color="auto"/>
                      </w:divBdr>
                      <w:divsChild>
                        <w:div w:id="497890394">
                          <w:marLeft w:val="0"/>
                          <w:marRight w:val="0"/>
                          <w:marTop w:val="0"/>
                          <w:marBottom w:val="0"/>
                          <w:divBdr>
                            <w:top w:val="none" w:sz="0" w:space="0" w:color="auto"/>
                            <w:left w:val="none" w:sz="0" w:space="0" w:color="auto"/>
                            <w:bottom w:val="none" w:sz="0" w:space="0" w:color="auto"/>
                            <w:right w:val="none" w:sz="0" w:space="0" w:color="auto"/>
                          </w:divBdr>
                          <w:divsChild>
                            <w:div w:id="7309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57384">
      <w:bodyDiv w:val="1"/>
      <w:marLeft w:val="0"/>
      <w:marRight w:val="0"/>
      <w:marTop w:val="0"/>
      <w:marBottom w:val="0"/>
      <w:divBdr>
        <w:top w:val="none" w:sz="0" w:space="0" w:color="auto"/>
        <w:left w:val="none" w:sz="0" w:space="0" w:color="auto"/>
        <w:bottom w:val="none" w:sz="0" w:space="0" w:color="auto"/>
        <w:right w:val="none" w:sz="0" w:space="0" w:color="auto"/>
      </w:divBdr>
    </w:div>
    <w:div w:id="1600873044">
      <w:bodyDiv w:val="1"/>
      <w:marLeft w:val="0"/>
      <w:marRight w:val="0"/>
      <w:marTop w:val="0"/>
      <w:marBottom w:val="0"/>
      <w:divBdr>
        <w:top w:val="none" w:sz="0" w:space="0" w:color="auto"/>
        <w:left w:val="none" w:sz="0" w:space="0" w:color="auto"/>
        <w:bottom w:val="none" w:sz="0" w:space="0" w:color="auto"/>
        <w:right w:val="none" w:sz="0" w:space="0" w:color="auto"/>
      </w:divBdr>
      <w:divsChild>
        <w:div w:id="1897811959">
          <w:marLeft w:val="0"/>
          <w:marRight w:val="0"/>
          <w:marTop w:val="0"/>
          <w:marBottom w:val="0"/>
          <w:divBdr>
            <w:top w:val="none" w:sz="0" w:space="0" w:color="auto"/>
            <w:left w:val="none" w:sz="0" w:space="0" w:color="auto"/>
            <w:bottom w:val="none" w:sz="0" w:space="0" w:color="auto"/>
            <w:right w:val="none" w:sz="0" w:space="0" w:color="auto"/>
          </w:divBdr>
          <w:divsChild>
            <w:div w:id="499928402">
              <w:marLeft w:val="0"/>
              <w:marRight w:val="0"/>
              <w:marTop w:val="0"/>
              <w:marBottom w:val="0"/>
              <w:divBdr>
                <w:top w:val="none" w:sz="0" w:space="0" w:color="auto"/>
                <w:left w:val="none" w:sz="0" w:space="0" w:color="auto"/>
                <w:bottom w:val="none" w:sz="0" w:space="0" w:color="auto"/>
                <w:right w:val="none" w:sz="0" w:space="0" w:color="auto"/>
              </w:divBdr>
              <w:divsChild>
                <w:div w:id="1768192840">
                  <w:marLeft w:val="0"/>
                  <w:marRight w:val="0"/>
                  <w:marTop w:val="0"/>
                  <w:marBottom w:val="0"/>
                  <w:divBdr>
                    <w:top w:val="none" w:sz="0" w:space="0" w:color="auto"/>
                    <w:left w:val="none" w:sz="0" w:space="0" w:color="auto"/>
                    <w:bottom w:val="none" w:sz="0" w:space="0" w:color="auto"/>
                    <w:right w:val="none" w:sz="0" w:space="0" w:color="auto"/>
                  </w:divBdr>
                  <w:divsChild>
                    <w:div w:id="1121345135">
                      <w:marLeft w:val="0"/>
                      <w:marRight w:val="0"/>
                      <w:marTop w:val="0"/>
                      <w:marBottom w:val="0"/>
                      <w:divBdr>
                        <w:top w:val="none" w:sz="0" w:space="0" w:color="auto"/>
                        <w:left w:val="none" w:sz="0" w:space="0" w:color="auto"/>
                        <w:bottom w:val="none" w:sz="0" w:space="0" w:color="auto"/>
                        <w:right w:val="none" w:sz="0" w:space="0" w:color="auto"/>
                      </w:divBdr>
                      <w:divsChild>
                        <w:div w:id="1132939317">
                          <w:marLeft w:val="0"/>
                          <w:marRight w:val="0"/>
                          <w:marTop w:val="0"/>
                          <w:marBottom w:val="0"/>
                          <w:divBdr>
                            <w:top w:val="none" w:sz="0" w:space="0" w:color="auto"/>
                            <w:left w:val="none" w:sz="0" w:space="0" w:color="auto"/>
                            <w:bottom w:val="none" w:sz="0" w:space="0" w:color="auto"/>
                            <w:right w:val="none" w:sz="0" w:space="0" w:color="auto"/>
                          </w:divBdr>
                          <w:divsChild>
                            <w:div w:id="8855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9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eng" TargetMode="External"/><Relationship Id="rId26" Type="http://schemas.openxmlformats.org/officeDocument/2006/relationships/hyperlink" Target="http://hudoc.echr.coe.int/sites/eng/Pages/search.aspx" TargetMode="External"/><Relationship Id="rId39" Type="http://schemas.openxmlformats.org/officeDocument/2006/relationships/hyperlink" Target="http://hudoc.echr.coe.int/eng" TargetMode="External"/><Relationship Id="rId21" Type="http://schemas.openxmlformats.org/officeDocument/2006/relationships/hyperlink" Target="http://hudoc.echr.coe.int/eng" TargetMode="External"/><Relationship Id="rId34" Type="http://schemas.openxmlformats.org/officeDocument/2006/relationships/hyperlink" Target="http://hudoc.echr.coe.int/eng" TargetMode="External"/><Relationship Id="rId42" Type="http://schemas.openxmlformats.org/officeDocument/2006/relationships/hyperlink" Target="http://hudoc.echr.coe.int/eng" TargetMode="External"/><Relationship Id="rId47" Type="http://schemas.openxmlformats.org/officeDocument/2006/relationships/hyperlink" Target="http://hudoc.echr.coe.int/sites/eng/Pages/search.aspx" TargetMode="Externa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9" Type="http://schemas.openxmlformats.org/officeDocument/2006/relationships/hyperlink" Target="http://hudoc.echr.coe.int/eng" TargetMode="External"/><Relationship Id="rId11" Type="http://schemas.openxmlformats.org/officeDocument/2006/relationships/header" Target="header1.xml"/><Relationship Id="rId24" Type="http://schemas.openxmlformats.org/officeDocument/2006/relationships/hyperlink" Target="http://hudoc.echr.coe.int/eng" TargetMode="External"/><Relationship Id="rId32" Type="http://schemas.openxmlformats.org/officeDocument/2006/relationships/hyperlink" Target="http://hudoc.echr.coe.int/eng" TargetMode="External"/><Relationship Id="rId37" Type="http://schemas.openxmlformats.org/officeDocument/2006/relationships/hyperlink" Target="http://hudoc.echr.coe.int/eng" TargetMode="External"/><Relationship Id="rId40" Type="http://schemas.openxmlformats.org/officeDocument/2006/relationships/hyperlink" Target="http://hudoc.echr.coe.int/eng" TargetMode="External"/><Relationship Id="rId45" Type="http://schemas.openxmlformats.org/officeDocument/2006/relationships/hyperlink" Target="http://hudoc.echr.coe.int/eng" TargetMode="External"/><Relationship Id="rId53" Type="http://schemas.openxmlformats.org/officeDocument/2006/relationships/header" Target="head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hudoc.echr.coe.int/eng" TargetMode="External"/><Relationship Id="rId31" Type="http://schemas.openxmlformats.org/officeDocument/2006/relationships/hyperlink" Target="http://hudoc.echr.coe.int/eng" TargetMode="External"/><Relationship Id="rId44" Type="http://schemas.openxmlformats.org/officeDocument/2006/relationships/hyperlink" Target="http://hudoc.echr.coe.int/eng"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sites/eng/Pages/search.aspx" TargetMode="External"/><Relationship Id="rId22" Type="http://schemas.openxmlformats.org/officeDocument/2006/relationships/hyperlink" Target="http://hudoc.echr.coe.int/eng" TargetMode="External"/><Relationship Id="rId27" Type="http://schemas.openxmlformats.org/officeDocument/2006/relationships/hyperlink" Target="http://hudoc.echr.coe.int/sites/eng/Pages/search.aspx" TargetMode="External"/><Relationship Id="rId30" Type="http://schemas.openxmlformats.org/officeDocument/2006/relationships/hyperlink" Target="http://hudoc.echr.coe.int/eng" TargetMode="External"/><Relationship Id="rId35" Type="http://schemas.openxmlformats.org/officeDocument/2006/relationships/hyperlink" Target="http://hudoc.echr.coe.int/eng" TargetMode="External"/><Relationship Id="rId43" Type="http://schemas.openxmlformats.org/officeDocument/2006/relationships/hyperlink" Target="http://hudoc.echr.coe.int/eng" TargetMode="External"/><Relationship Id="rId48" Type="http://schemas.openxmlformats.org/officeDocument/2006/relationships/hyperlink" Target="http://hudoc.echr.coe.int/sites/eng/Pages/search.aspx"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hudoc.echr.coe.int/eng" TargetMode="External"/><Relationship Id="rId25" Type="http://schemas.openxmlformats.org/officeDocument/2006/relationships/hyperlink" Target="http://hudoc.echr.coe.int/eng" TargetMode="External"/><Relationship Id="rId33" Type="http://schemas.openxmlformats.org/officeDocument/2006/relationships/hyperlink" Target="http://hudoc.echr.coe.int/eng" TargetMode="External"/><Relationship Id="rId38" Type="http://schemas.openxmlformats.org/officeDocument/2006/relationships/hyperlink" Target="http://hudoc.echr.coe.int/eng" TargetMode="External"/><Relationship Id="rId4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41" Type="http://schemas.openxmlformats.org/officeDocument/2006/relationships/hyperlink" Target="http://hudoc.echr.coe.int/e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eng" TargetMode="External"/><Relationship Id="rId28" Type="http://schemas.openxmlformats.org/officeDocument/2006/relationships/hyperlink" Target="http://hudoc.echr.coe.int/eng" TargetMode="External"/><Relationship Id="rId36" Type="http://schemas.openxmlformats.org/officeDocument/2006/relationships/hyperlink" Target="http://hudoc.echr.coe.int/eng" TargetMode="External"/><Relationship Id="rId4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B4AA-53E7-4DC7-B57D-3BD59B6FC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D19AB-C7C5-4B91-BA93-4C914F855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A6350D-08BF-43FD-BC79-E752F1736C3C}">
  <ds:schemaRefs>
    <ds:schemaRef ds:uri="http://schemas.microsoft.com/sharepoint/v3/contenttype/forms"/>
  </ds:schemaRefs>
</ds:datastoreItem>
</file>

<file path=customXml/itemProps4.xml><?xml version="1.0" encoding="utf-8"?>
<ds:datastoreItem xmlns:ds="http://schemas.openxmlformats.org/officeDocument/2006/customXml" ds:itemID="{CFF72B5B-1BFD-403B-8CBC-AB9F8166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54984</Words>
  <Characters>313413</Characters>
  <Application>Microsoft Office Word</Application>
  <DocSecurity>0</DocSecurity>
  <Lines>2611</Lines>
  <Paragraphs>735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367662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cp:lastPrinted>2015-10-15T12:44:00Z</cp:lastPrinted>
  <dcterms:created xsi:type="dcterms:W3CDTF">2016-01-20T12:19:00Z</dcterms:created>
  <dcterms:modified xsi:type="dcterms:W3CDTF">2016-01-20T12:19:00Z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